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0E99" w14:textId="000286D8" w:rsidR="00CE4480" w:rsidRPr="00B376ED" w:rsidRDefault="002E7C23" w:rsidP="00E03DB9">
      <w:pPr>
        <w:spacing w:line="240" w:lineRule="auto"/>
        <w:jc w:val="both"/>
        <w:rPr>
          <w:rFonts w:ascii="Arial" w:hAnsi="Arial" w:cs="Arial"/>
          <w:sz w:val="24"/>
          <w:szCs w:val="24"/>
          <w:lang w:val="ca-ES"/>
        </w:rPr>
      </w:pPr>
      <w:r w:rsidRPr="00B376ED">
        <w:rPr>
          <w:rFonts w:ascii="Arial" w:hAnsi="Arial" w:cs="Arial"/>
          <w:sz w:val="24"/>
          <w:szCs w:val="24"/>
          <w:lang w:val="ca-ES"/>
        </w:rPr>
        <w:t xml:space="preserve">A la direcció </w:t>
      </w:r>
      <w:r w:rsidR="00417585" w:rsidRPr="00B376ED">
        <w:rPr>
          <w:rFonts w:ascii="Arial" w:hAnsi="Arial" w:cs="Arial"/>
          <w:sz w:val="24"/>
          <w:szCs w:val="24"/>
          <w:lang w:val="ca-ES"/>
        </w:rPr>
        <w:t>de l’Agència de Qualitat i Avaluació Sanitàries de Catalunya</w:t>
      </w:r>
      <w:r w:rsidR="00A71166" w:rsidRPr="00B376ED">
        <w:rPr>
          <w:rFonts w:ascii="Arial" w:hAnsi="Arial" w:cs="Arial"/>
          <w:sz w:val="24"/>
          <w:szCs w:val="24"/>
          <w:lang w:val="ca-ES"/>
        </w:rPr>
        <w:t>,</w:t>
      </w:r>
    </w:p>
    <w:p w14:paraId="03CF51EE" w14:textId="00E20579" w:rsidR="00A76B25" w:rsidRPr="00B376ED" w:rsidRDefault="00394D60" w:rsidP="00E03DB9">
      <w:pPr>
        <w:spacing w:line="240" w:lineRule="auto"/>
        <w:jc w:val="both"/>
        <w:rPr>
          <w:rFonts w:ascii="Arial" w:hAnsi="Arial" w:cs="Arial"/>
          <w:sz w:val="24"/>
          <w:szCs w:val="24"/>
          <w:lang w:val="ca-ES"/>
        </w:rPr>
      </w:pPr>
      <w:r w:rsidRPr="00B376ED">
        <w:rPr>
          <w:rFonts w:ascii="Arial" w:hAnsi="Arial" w:cs="Arial"/>
          <w:sz w:val="24"/>
          <w:szCs w:val="24"/>
          <w:lang w:val="ca-ES"/>
        </w:rPr>
        <w:t xml:space="preserve">El document “Model d’atenció a la salut de les persones trans*” </w:t>
      </w:r>
      <w:r w:rsidR="004E2BCD" w:rsidRPr="00B376ED">
        <w:rPr>
          <w:rFonts w:ascii="Arial" w:hAnsi="Arial" w:cs="Arial"/>
          <w:sz w:val="24"/>
          <w:szCs w:val="24"/>
          <w:lang w:val="ca-ES"/>
        </w:rPr>
        <w:t>estableix la possibilitat d’iniciar tractaments hormonals amb anàlegs de</w:t>
      </w:r>
      <w:r w:rsidR="005D4AB3" w:rsidRPr="00B376ED">
        <w:rPr>
          <w:rFonts w:ascii="Arial" w:hAnsi="Arial" w:cs="Arial"/>
          <w:sz w:val="24"/>
          <w:szCs w:val="24"/>
          <w:lang w:val="ca-ES"/>
        </w:rPr>
        <w:t xml:space="preserve"> la GnRH </w:t>
      </w:r>
      <w:r w:rsidR="00AC0D6F" w:rsidRPr="00B376ED">
        <w:rPr>
          <w:rFonts w:ascii="Arial" w:hAnsi="Arial" w:cs="Arial"/>
          <w:sz w:val="24"/>
          <w:szCs w:val="24"/>
          <w:lang w:val="ca-ES"/>
        </w:rPr>
        <w:t>(també anomenats bloquejadors de la pubertat)</w:t>
      </w:r>
      <w:r w:rsidR="004E2BCD" w:rsidRPr="00B376ED">
        <w:rPr>
          <w:rFonts w:ascii="Arial" w:hAnsi="Arial" w:cs="Arial"/>
          <w:sz w:val="24"/>
          <w:szCs w:val="24"/>
          <w:lang w:val="ca-ES"/>
        </w:rPr>
        <w:t>, andrògens, antiandrògens i estrògens,</w:t>
      </w:r>
      <w:r w:rsidR="00C416BD">
        <w:rPr>
          <w:rFonts w:ascii="Arial" w:hAnsi="Arial" w:cs="Arial"/>
          <w:sz w:val="24"/>
          <w:szCs w:val="24"/>
          <w:lang w:val="ca-ES"/>
        </w:rPr>
        <w:t xml:space="preserve"> dins del marc de la teràpia d’afirmació de gènere</w:t>
      </w:r>
      <w:r w:rsidR="004E2BCD" w:rsidRPr="00B376ED">
        <w:rPr>
          <w:rFonts w:ascii="Arial" w:hAnsi="Arial" w:cs="Arial"/>
          <w:sz w:val="24"/>
          <w:szCs w:val="24"/>
          <w:lang w:val="ca-ES"/>
        </w:rPr>
        <w:t xml:space="preserve">. </w:t>
      </w:r>
      <w:r w:rsidR="00AE3A61" w:rsidRPr="00B376ED">
        <w:rPr>
          <w:rFonts w:ascii="Arial" w:hAnsi="Arial" w:cs="Arial"/>
          <w:sz w:val="24"/>
          <w:szCs w:val="24"/>
          <w:lang w:val="ca-ES"/>
        </w:rPr>
        <w:t>Tanmateix, l’evidència científica posa en dubte l’efectivitat d’aquestes intervencions.</w:t>
      </w:r>
      <w:r w:rsidR="00A76B25" w:rsidRPr="00B376ED">
        <w:rPr>
          <w:rFonts w:ascii="Arial" w:hAnsi="Arial" w:cs="Arial"/>
          <w:sz w:val="24"/>
          <w:szCs w:val="24"/>
          <w:lang w:val="ca-ES"/>
        </w:rPr>
        <w:t xml:space="preserve"> </w:t>
      </w:r>
    </w:p>
    <w:p w14:paraId="062BD3AE" w14:textId="06A2EB8E" w:rsidR="00583D7D" w:rsidRPr="00B376ED" w:rsidRDefault="00680ED7" w:rsidP="00E03DB9">
      <w:pPr>
        <w:spacing w:line="240" w:lineRule="auto"/>
        <w:jc w:val="both"/>
        <w:rPr>
          <w:rFonts w:ascii="Arial" w:hAnsi="Arial" w:cs="Arial"/>
          <w:sz w:val="24"/>
          <w:szCs w:val="24"/>
          <w:lang w:val="ca-ES"/>
        </w:rPr>
      </w:pPr>
      <w:r w:rsidRPr="00B376ED">
        <w:rPr>
          <w:rFonts w:ascii="Arial" w:hAnsi="Arial" w:cs="Arial"/>
          <w:sz w:val="24"/>
          <w:szCs w:val="24"/>
          <w:lang w:val="ca-ES"/>
        </w:rPr>
        <w:t xml:space="preserve">En els darrers anys s’han publicat </w:t>
      </w:r>
      <w:r w:rsidR="00D91C6A" w:rsidRPr="00B376ED">
        <w:rPr>
          <w:rFonts w:ascii="Arial" w:hAnsi="Arial" w:cs="Arial"/>
          <w:sz w:val="24"/>
          <w:szCs w:val="24"/>
          <w:lang w:val="ca-ES"/>
        </w:rPr>
        <w:t>diverses</w:t>
      </w:r>
      <w:r w:rsidRPr="00B376ED">
        <w:rPr>
          <w:rFonts w:ascii="Arial" w:hAnsi="Arial" w:cs="Arial"/>
          <w:sz w:val="24"/>
          <w:szCs w:val="24"/>
          <w:lang w:val="ca-ES"/>
        </w:rPr>
        <w:t xml:space="preserve"> revisions</w:t>
      </w:r>
      <w:r w:rsidR="00262E27" w:rsidRPr="00B376ED">
        <w:rPr>
          <w:rFonts w:ascii="Arial" w:hAnsi="Arial" w:cs="Arial"/>
          <w:sz w:val="24"/>
          <w:szCs w:val="24"/>
          <w:lang w:val="ca-ES"/>
        </w:rPr>
        <w:t xml:space="preserve"> </w:t>
      </w:r>
      <w:r w:rsidR="00AB1B1A" w:rsidRPr="00B376ED">
        <w:rPr>
          <w:rFonts w:ascii="Arial" w:hAnsi="Arial" w:cs="Arial"/>
          <w:sz w:val="24"/>
          <w:szCs w:val="24"/>
          <w:lang w:val="ca-ES"/>
        </w:rPr>
        <w:t xml:space="preserve">sistemàtiques </w:t>
      </w:r>
      <w:r w:rsidR="00262E27" w:rsidRPr="00B376ED">
        <w:rPr>
          <w:rFonts w:ascii="Arial" w:hAnsi="Arial" w:cs="Arial"/>
          <w:sz w:val="24"/>
          <w:szCs w:val="24"/>
          <w:lang w:val="ca-ES"/>
        </w:rPr>
        <w:t>de la literatura científica</w:t>
      </w:r>
      <w:r w:rsidR="00B04F03">
        <w:rPr>
          <w:rFonts w:ascii="Arial" w:hAnsi="Arial" w:cs="Arial"/>
          <w:sz w:val="24"/>
          <w:szCs w:val="24"/>
          <w:lang w:val="ca-ES"/>
        </w:rPr>
        <w:t xml:space="preserve"> r</w:t>
      </w:r>
      <w:r w:rsidR="00D460E0">
        <w:rPr>
          <w:rFonts w:ascii="Arial" w:hAnsi="Arial" w:cs="Arial"/>
          <w:sz w:val="24"/>
          <w:szCs w:val="24"/>
          <w:lang w:val="ca-ES"/>
        </w:rPr>
        <w:t>ellevant</w:t>
      </w:r>
      <w:r w:rsidR="00790724" w:rsidRPr="00B376ED">
        <w:rPr>
          <w:rFonts w:ascii="Arial" w:hAnsi="Arial" w:cs="Arial"/>
          <w:sz w:val="24"/>
          <w:szCs w:val="24"/>
          <w:lang w:val="ca-ES"/>
        </w:rPr>
        <w:t>. Els  organismes públics competents de Suècia</w:t>
      </w:r>
      <w:r w:rsidR="003035F6" w:rsidRPr="00B376ED">
        <w:rPr>
          <w:rFonts w:ascii="Arial" w:hAnsi="Arial" w:cs="Arial"/>
          <w:sz w:val="24"/>
          <w:szCs w:val="24"/>
          <w:lang w:val="ca-ES"/>
        </w:rPr>
        <w:fldChar w:fldCharType="begin"/>
      </w:r>
      <w:r w:rsidR="00B7550D" w:rsidRPr="00B376ED">
        <w:rPr>
          <w:rFonts w:ascii="Arial" w:hAnsi="Arial" w:cs="Arial"/>
          <w:sz w:val="24"/>
          <w:szCs w:val="24"/>
          <w:lang w:val="ca-ES"/>
        </w:rPr>
        <w:instrText xml:space="preserve"> ADDIN ZOTERO_ITEM CSL_CITATION {"citationID":"6DIlxRqR","properties":{"formattedCitation":"\\super 1\\nosupersub{}","plainCitation":"1","noteIndex":0},"citationItems":[{"id":849,"uris":["http://zotero.org/users/9099299/items/JKNI6TJJ"],"itemData":{"id":849,"type":"article-journal","language":"en","source":"Zotero","title":"Care of children and adolescents with gender dysphoria – Summary of national guidelines – December 2022","author":[{"family":"Socialstyrelsen","given":""}]}}],"schema":"https://github.com/citation-style-language/schema/raw/master/csl-citation.json"} </w:instrText>
      </w:r>
      <w:r w:rsidR="003035F6" w:rsidRPr="00B376ED">
        <w:rPr>
          <w:rFonts w:ascii="Arial" w:hAnsi="Arial" w:cs="Arial"/>
          <w:sz w:val="24"/>
          <w:szCs w:val="24"/>
          <w:lang w:val="ca-ES"/>
        </w:rPr>
        <w:fldChar w:fldCharType="separate"/>
      </w:r>
      <w:r w:rsidR="003035F6" w:rsidRPr="00B376ED">
        <w:rPr>
          <w:rFonts w:ascii="Arial" w:hAnsi="Arial" w:cs="Arial"/>
          <w:sz w:val="24"/>
          <w:szCs w:val="24"/>
          <w:vertAlign w:val="superscript"/>
          <w:lang w:val="ca-ES"/>
        </w:rPr>
        <w:t>1</w:t>
      </w:r>
      <w:r w:rsidR="003035F6" w:rsidRPr="00B376ED">
        <w:rPr>
          <w:rFonts w:ascii="Arial" w:hAnsi="Arial" w:cs="Arial"/>
          <w:sz w:val="24"/>
          <w:szCs w:val="24"/>
          <w:lang w:val="ca-ES"/>
        </w:rPr>
        <w:fldChar w:fldCharType="end"/>
      </w:r>
      <w:r w:rsidR="00790724" w:rsidRPr="00B376ED">
        <w:rPr>
          <w:rFonts w:ascii="Arial" w:hAnsi="Arial" w:cs="Arial"/>
          <w:sz w:val="24"/>
          <w:szCs w:val="24"/>
          <w:lang w:val="ca-ES"/>
        </w:rPr>
        <w:t>, Finlàndia</w:t>
      </w:r>
      <w:r w:rsidR="003035F6" w:rsidRPr="00B376ED">
        <w:rPr>
          <w:rFonts w:ascii="Arial" w:hAnsi="Arial" w:cs="Arial"/>
          <w:sz w:val="24"/>
          <w:szCs w:val="24"/>
          <w:lang w:val="ca-ES"/>
        </w:rPr>
        <w:fldChar w:fldCharType="begin"/>
      </w:r>
      <w:r w:rsidR="003035F6" w:rsidRPr="00B376ED">
        <w:rPr>
          <w:rFonts w:ascii="Arial" w:hAnsi="Arial" w:cs="Arial"/>
          <w:sz w:val="24"/>
          <w:szCs w:val="24"/>
          <w:lang w:val="ca-ES"/>
        </w:rPr>
        <w:instrText xml:space="preserve"> ADDIN ZOTERO_ITEM CSL_CITATION {"citationID":"dFgjGrdh","properties":{"formattedCitation":"\\super 2\\nosupersub{}","plainCitation":"2","noteIndex":0},"citationItems":[{"id":851,"uris":["http://zotero.org/users/9099299/items/N7AVDYXE"],"itemData":{"id":851,"type":"article-journal","language":"fi","source":"Zotero","title":"Lääketieteelliset menetelmät sukupuolivariaatioihin liittyvän dysforian hoidossa. Systemaattinen katsaus.","author":[{"family":"Pasternack","given":"Iris"},{"family":"Söderström","given":"Inka"},{"family":"Saijonkari","given":"Maija"},{"family":"Mäkelä","given":"Marjukka"}]}}],"schema":"https://github.com/citation-style-language/schema/raw/master/csl-citation.json"} </w:instrText>
      </w:r>
      <w:r w:rsidR="003035F6" w:rsidRPr="00B376ED">
        <w:rPr>
          <w:rFonts w:ascii="Arial" w:hAnsi="Arial" w:cs="Arial"/>
          <w:sz w:val="24"/>
          <w:szCs w:val="24"/>
          <w:lang w:val="ca-ES"/>
        </w:rPr>
        <w:fldChar w:fldCharType="separate"/>
      </w:r>
      <w:r w:rsidR="003035F6" w:rsidRPr="00B376ED">
        <w:rPr>
          <w:rFonts w:ascii="Arial" w:hAnsi="Arial" w:cs="Arial"/>
          <w:sz w:val="24"/>
          <w:szCs w:val="24"/>
          <w:vertAlign w:val="superscript"/>
          <w:lang w:val="ca-ES"/>
        </w:rPr>
        <w:t>2</w:t>
      </w:r>
      <w:r w:rsidR="003035F6" w:rsidRPr="00B376ED">
        <w:rPr>
          <w:rFonts w:ascii="Arial" w:hAnsi="Arial" w:cs="Arial"/>
          <w:sz w:val="24"/>
          <w:szCs w:val="24"/>
          <w:lang w:val="ca-ES"/>
        </w:rPr>
        <w:fldChar w:fldCharType="end"/>
      </w:r>
      <w:r w:rsidR="00047E15" w:rsidRPr="00B376ED">
        <w:rPr>
          <w:rFonts w:ascii="Arial" w:hAnsi="Arial" w:cs="Arial"/>
          <w:sz w:val="24"/>
          <w:szCs w:val="24"/>
          <w:lang w:val="ca-ES"/>
        </w:rPr>
        <w:t>, Noruega</w:t>
      </w:r>
      <w:r w:rsidR="00535CAB" w:rsidRPr="00B376ED">
        <w:rPr>
          <w:rFonts w:ascii="Arial" w:hAnsi="Arial" w:cs="Arial"/>
          <w:sz w:val="24"/>
          <w:szCs w:val="24"/>
          <w:lang w:val="ca-ES"/>
        </w:rPr>
        <w:fldChar w:fldCharType="begin"/>
      </w:r>
      <w:r w:rsidR="003035F6" w:rsidRPr="00B376ED">
        <w:rPr>
          <w:rFonts w:ascii="Arial" w:hAnsi="Arial" w:cs="Arial"/>
          <w:sz w:val="24"/>
          <w:szCs w:val="24"/>
          <w:lang w:val="ca-ES"/>
        </w:rPr>
        <w:instrText xml:space="preserve"> ADDIN ZOTERO_ITEM CSL_CITATION {"citationID":"EubwUBbj","properties":{"formattedCitation":"\\super 3\\nosupersub{}","plainCitation":"3","noteIndex":0},"citationItems":[{"id":832,"uris":["http://zotero.org/users/9099299/items/H8Z8KIX9"],"itemData":{"id":832,"type":"webpage","abstract":"Vi undersøker alvorlige hendelser og andre alvorlige forhold for å bedre pasientsikkerheten i helse- og omsorgstjenesten.","container-title":"Ukom","language":"no","title":"Sammendrag","URL":"https://ukom.no/rapporter/pasientsikkerhet-for-barn-og-unge-med-kjonnsinkongruens/sammendrag","author":[{"family":"UKOM","given":""}],"accessed":{"date-parts":[["2024",1,24]]}}}],"schema":"https://github.com/citation-style-language/schema/raw/master/csl-citation.json"} </w:instrText>
      </w:r>
      <w:r w:rsidR="00535CAB" w:rsidRPr="00B376ED">
        <w:rPr>
          <w:rFonts w:ascii="Arial" w:hAnsi="Arial" w:cs="Arial"/>
          <w:sz w:val="24"/>
          <w:szCs w:val="24"/>
          <w:lang w:val="ca-ES"/>
        </w:rPr>
        <w:fldChar w:fldCharType="separate"/>
      </w:r>
      <w:r w:rsidR="003035F6" w:rsidRPr="00B376ED">
        <w:rPr>
          <w:rFonts w:ascii="Arial" w:hAnsi="Arial" w:cs="Arial"/>
          <w:sz w:val="24"/>
          <w:szCs w:val="24"/>
          <w:vertAlign w:val="superscript"/>
          <w:lang w:val="ca-ES"/>
        </w:rPr>
        <w:t>3</w:t>
      </w:r>
      <w:r w:rsidR="00535CAB" w:rsidRPr="00B376ED">
        <w:rPr>
          <w:rFonts w:ascii="Arial" w:hAnsi="Arial" w:cs="Arial"/>
          <w:sz w:val="24"/>
          <w:szCs w:val="24"/>
          <w:lang w:val="ca-ES"/>
        </w:rPr>
        <w:fldChar w:fldCharType="end"/>
      </w:r>
      <w:r w:rsidR="00790724" w:rsidRPr="00B376ED">
        <w:rPr>
          <w:rFonts w:ascii="Arial" w:hAnsi="Arial" w:cs="Arial"/>
          <w:sz w:val="24"/>
          <w:szCs w:val="24"/>
          <w:lang w:val="ca-ES"/>
        </w:rPr>
        <w:t xml:space="preserve"> i Regne Unit</w:t>
      </w:r>
      <w:r w:rsidR="00535CAB" w:rsidRPr="00B376ED">
        <w:rPr>
          <w:rFonts w:ascii="Arial" w:hAnsi="Arial" w:cs="Arial"/>
          <w:sz w:val="24"/>
          <w:szCs w:val="24"/>
        </w:rPr>
        <w:fldChar w:fldCharType="begin"/>
      </w:r>
      <w:r w:rsidR="00B7550D" w:rsidRPr="00B376ED">
        <w:rPr>
          <w:rFonts w:ascii="Arial" w:hAnsi="Arial" w:cs="Arial"/>
          <w:sz w:val="24"/>
          <w:szCs w:val="24"/>
          <w:lang w:val="ca-ES"/>
        </w:rPr>
        <w:instrText xml:space="preserve"> ADDIN ZOTERO_ITEM CSL_CITATION {"citationID":"DDZ6romM","properties":{"formattedCitation":"\\super 4\\uc0\\u8211{}6\\nosupersub{}","plainCitation":"4–6","noteIndex":0},"citationItems":[{"id":847,"uris":["http://zotero.org/users/9099299/items/ECQ9WF2H"],"itemData":{"id":847,"type":"article-journal","language":"en","source":"Zotero","title":"The Cass Review - Independent review of gender identity services for children and young people: Interim Report"}},{"id":759,"uris":["http://zotero.org/users/9099299/items/DUCW7A5Y"],"itemData":{"id":759,"type":"article-journal","language":"en","source":"Zotero","title":"Evidence review: Gender-affirming hormones for children and adolescents with gender dysphoria","issued":{"date-parts":[["2020"]]}}},{"id":843,"uris":["http://zotero.org/users/9099299/items/IM73HJKD"],"itemData":{"id":843,"type":"article-journal","language":"en","source":"Zotero","title":"Evidence review: Gonadotrophin releasing hormone analogues for children and adolescents with gender dysphoria","author":[{"literal":"National Institute for Health and Care Excellence"}],"issued":{"date-parts":[["2020"]]}}}],"schema":"https://github.com/citation-style-language/schema/raw/master/csl-citation.json"} </w:instrText>
      </w:r>
      <w:r w:rsidR="00535CAB" w:rsidRPr="00B376ED">
        <w:rPr>
          <w:rFonts w:ascii="Arial" w:hAnsi="Arial" w:cs="Arial"/>
          <w:sz w:val="24"/>
          <w:szCs w:val="24"/>
        </w:rPr>
        <w:fldChar w:fldCharType="separate"/>
      </w:r>
      <w:r w:rsidR="003035F6" w:rsidRPr="00B376ED">
        <w:rPr>
          <w:rFonts w:ascii="Arial" w:hAnsi="Arial" w:cs="Arial"/>
          <w:sz w:val="24"/>
          <w:szCs w:val="24"/>
          <w:vertAlign w:val="superscript"/>
          <w:lang w:val="ca-ES"/>
        </w:rPr>
        <w:t>4–6</w:t>
      </w:r>
      <w:r w:rsidR="00535CAB" w:rsidRPr="00B376ED">
        <w:rPr>
          <w:rFonts w:ascii="Arial" w:hAnsi="Arial" w:cs="Arial"/>
          <w:sz w:val="24"/>
          <w:szCs w:val="24"/>
        </w:rPr>
        <w:fldChar w:fldCharType="end"/>
      </w:r>
      <w:r w:rsidR="005F1F3A" w:rsidRPr="00B376ED">
        <w:rPr>
          <w:rFonts w:ascii="Arial" w:hAnsi="Arial" w:cs="Arial"/>
          <w:sz w:val="24"/>
          <w:szCs w:val="24"/>
          <w:lang w:val="ca-ES"/>
        </w:rPr>
        <w:t xml:space="preserve">, </w:t>
      </w:r>
      <w:r w:rsidR="00CE7436" w:rsidRPr="00B376ED">
        <w:rPr>
          <w:rFonts w:ascii="Arial" w:hAnsi="Arial" w:cs="Arial"/>
          <w:sz w:val="24"/>
          <w:szCs w:val="24"/>
          <w:lang w:val="ca-ES"/>
        </w:rPr>
        <w:t xml:space="preserve">han </w:t>
      </w:r>
      <w:r w:rsidR="00CD454F" w:rsidRPr="00B376ED">
        <w:rPr>
          <w:rFonts w:ascii="Arial" w:hAnsi="Arial" w:cs="Arial"/>
          <w:sz w:val="24"/>
          <w:szCs w:val="24"/>
          <w:lang w:val="ca-ES"/>
        </w:rPr>
        <w:t>conclòs</w:t>
      </w:r>
      <w:r w:rsidR="00790724" w:rsidRPr="00B376ED">
        <w:rPr>
          <w:rFonts w:ascii="Arial" w:hAnsi="Arial" w:cs="Arial"/>
          <w:sz w:val="24"/>
          <w:szCs w:val="24"/>
          <w:lang w:val="ca-ES"/>
        </w:rPr>
        <w:t xml:space="preserve"> que </w:t>
      </w:r>
      <w:r w:rsidR="00014429" w:rsidRPr="00B376ED">
        <w:rPr>
          <w:rFonts w:ascii="Arial" w:hAnsi="Arial" w:cs="Arial"/>
          <w:sz w:val="24"/>
          <w:szCs w:val="24"/>
          <w:lang w:val="ca-ES"/>
        </w:rPr>
        <w:t>no existeix</w:t>
      </w:r>
      <w:r w:rsidR="00D774D8" w:rsidRPr="00B376ED">
        <w:rPr>
          <w:rFonts w:ascii="Arial" w:hAnsi="Arial" w:cs="Arial"/>
          <w:sz w:val="24"/>
          <w:szCs w:val="24"/>
          <w:lang w:val="ca-ES"/>
        </w:rPr>
        <w:t xml:space="preserve"> </w:t>
      </w:r>
      <w:r w:rsidR="00790724" w:rsidRPr="00B376ED">
        <w:rPr>
          <w:rFonts w:ascii="Arial" w:hAnsi="Arial" w:cs="Arial"/>
          <w:sz w:val="24"/>
          <w:szCs w:val="24"/>
          <w:lang w:val="ca-ES"/>
        </w:rPr>
        <w:t>prou evid</w:t>
      </w:r>
      <w:r w:rsidR="00AE3731" w:rsidRPr="00B376ED">
        <w:rPr>
          <w:rFonts w:ascii="Arial" w:hAnsi="Arial" w:cs="Arial"/>
          <w:sz w:val="24"/>
          <w:szCs w:val="24"/>
          <w:lang w:val="ca-ES"/>
        </w:rPr>
        <w:t xml:space="preserve">ència de qualitat </w:t>
      </w:r>
      <w:r w:rsidR="00D774D8" w:rsidRPr="00B376ED">
        <w:rPr>
          <w:rFonts w:ascii="Arial" w:hAnsi="Arial" w:cs="Arial"/>
          <w:sz w:val="24"/>
          <w:szCs w:val="24"/>
          <w:lang w:val="ca-ES"/>
        </w:rPr>
        <w:t xml:space="preserve">sobre els beneficis dels tractaments hormonals amb bloquejadors de la pubertat i hormones sexuals </w:t>
      </w:r>
      <w:r w:rsidR="00BA24E3" w:rsidRPr="00B376ED">
        <w:rPr>
          <w:rFonts w:ascii="Arial" w:hAnsi="Arial" w:cs="Arial"/>
          <w:sz w:val="24"/>
          <w:szCs w:val="24"/>
          <w:lang w:val="ca-ES"/>
        </w:rPr>
        <w:t xml:space="preserve">creuades </w:t>
      </w:r>
      <w:r w:rsidR="00D774D8" w:rsidRPr="00B376ED">
        <w:rPr>
          <w:rFonts w:ascii="Arial" w:hAnsi="Arial" w:cs="Arial"/>
          <w:sz w:val="24"/>
          <w:szCs w:val="24"/>
          <w:lang w:val="ca-ES"/>
        </w:rPr>
        <w:t>en menors d’edat.</w:t>
      </w:r>
      <w:r w:rsidR="00A76B25" w:rsidRPr="00B376ED">
        <w:rPr>
          <w:rFonts w:ascii="Arial" w:hAnsi="Arial" w:cs="Arial"/>
          <w:sz w:val="24"/>
          <w:szCs w:val="24"/>
          <w:lang w:val="ca-ES"/>
        </w:rPr>
        <w:t xml:space="preserve"> </w:t>
      </w:r>
      <w:r w:rsidR="00986B56" w:rsidRPr="00B376ED">
        <w:rPr>
          <w:rFonts w:ascii="Arial" w:hAnsi="Arial" w:cs="Arial"/>
          <w:sz w:val="24"/>
          <w:szCs w:val="24"/>
          <w:lang w:val="ca-ES"/>
        </w:rPr>
        <w:t>Una revisió encarregada per l</w:t>
      </w:r>
      <w:r w:rsidR="00674482" w:rsidRPr="00B376ED">
        <w:rPr>
          <w:rFonts w:ascii="Arial" w:hAnsi="Arial" w:cs="Arial"/>
          <w:sz w:val="24"/>
          <w:szCs w:val="24"/>
          <w:lang w:val="ca-ES"/>
        </w:rPr>
        <w:t xml:space="preserve">’Associació </w:t>
      </w:r>
      <w:r w:rsidR="003B6441" w:rsidRPr="00B376ED">
        <w:rPr>
          <w:rFonts w:ascii="Arial" w:hAnsi="Arial" w:cs="Arial"/>
          <w:sz w:val="24"/>
          <w:szCs w:val="24"/>
          <w:lang w:val="ca-ES"/>
        </w:rPr>
        <w:t xml:space="preserve">Professional Mundial per </w:t>
      </w:r>
      <w:r w:rsidR="00584613" w:rsidRPr="00B376ED">
        <w:rPr>
          <w:rFonts w:ascii="Arial" w:hAnsi="Arial" w:cs="Arial"/>
          <w:sz w:val="24"/>
          <w:szCs w:val="24"/>
          <w:lang w:val="ca-ES"/>
        </w:rPr>
        <w:t xml:space="preserve">a </w:t>
      </w:r>
      <w:r w:rsidR="003B6441" w:rsidRPr="00B376ED">
        <w:rPr>
          <w:rFonts w:ascii="Arial" w:hAnsi="Arial" w:cs="Arial"/>
          <w:sz w:val="24"/>
          <w:szCs w:val="24"/>
          <w:lang w:val="ca-ES"/>
        </w:rPr>
        <w:t>la Salut</w:t>
      </w:r>
      <w:r w:rsidR="00674482" w:rsidRPr="00B376ED">
        <w:rPr>
          <w:rFonts w:ascii="Arial" w:hAnsi="Arial" w:cs="Arial"/>
          <w:sz w:val="24"/>
          <w:szCs w:val="24"/>
          <w:lang w:val="ca-ES"/>
        </w:rPr>
        <w:t xml:space="preserve"> Transgènere (WPATH)</w:t>
      </w:r>
      <w:r w:rsidR="00986B56" w:rsidRPr="00B376ED">
        <w:rPr>
          <w:rFonts w:ascii="Arial" w:hAnsi="Arial" w:cs="Arial"/>
          <w:sz w:val="24"/>
          <w:szCs w:val="24"/>
          <w:lang w:val="ca-ES"/>
        </w:rPr>
        <w:t xml:space="preserve"> sobre els </w:t>
      </w:r>
      <w:r w:rsidR="00674482" w:rsidRPr="00B376ED">
        <w:rPr>
          <w:rFonts w:ascii="Arial" w:hAnsi="Arial" w:cs="Arial"/>
          <w:sz w:val="24"/>
          <w:szCs w:val="24"/>
          <w:lang w:val="ca-ES"/>
        </w:rPr>
        <w:t>efectes positius de</w:t>
      </w:r>
      <w:r w:rsidR="00986B56" w:rsidRPr="00B376ED">
        <w:rPr>
          <w:rFonts w:ascii="Arial" w:hAnsi="Arial" w:cs="Arial"/>
          <w:sz w:val="24"/>
          <w:szCs w:val="24"/>
          <w:lang w:val="ca-ES"/>
        </w:rPr>
        <w:t xml:space="preserve"> les hormones sexuals creuades </w:t>
      </w:r>
      <w:r w:rsidR="00E10CF1" w:rsidRPr="00B376ED">
        <w:rPr>
          <w:rFonts w:ascii="Arial" w:hAnsi="Arial" w:cs="Arial"/>
          <w:sz w:val="24"/>
          <w:szCs w:val="24"/>
          <w:lang w:val="ca-ES"/>
        </w:rPr>
        <w:t>en</w:t>
      </w:r>
      <w:r w:rsidR="00674482" w:rsidRPr="00B376ED">
        <w:rPr>
          <w:rFonts w:ascii="Arial" w:hAnsi="Arial" w:cs="Arial"/>
          <w:sz w:val="24"/>
          <w:szCs w:val="24"/>
          <w:lang w:val="ca-ES"/>
        </w:rPr>
        <w:t xml:space="preserve"> persones </w:t>
      </w:r>
      <w:r w:rsidR="002B2D85" w:rsidRPr="00B376ED">
        <w:rPr>
          <w:rFonts w:ascii="Arial" w:hAnsi="Arial" w:cs="Arial"/>
          <w:sz w:val="24"/>
          <w:szCs w:val="24"/>
          <w:lang w:val="ca-ES"/>
        </w:rPr>
        <w:t>de qualsevol edat</w:t>
      </w:r>
      <w:r w:rsidR="00986B56" w:rsidRPr="00B376ED">
        <w:rPr>
          <w:rFonts w:ascii="Arial" w:hAnsi="Arial" w:cs="Arial"/>
          <w:sz w:val="24"/>
          <w:szCs w:val="24"/>
          <w:lang w:val="ca-ES"/>
        </w:rPr>
        <w:t>, va concloure que l’</w:t>
      </w:r>
      <w:r w:rsidR="00BA6AA9" w:rsidRPr="00B376ED">
        <w:rPr>
          <w:rFonts w:ascii="Arial" w:hAnsi="Arial" w:cs="Arial"/>
          <w:sz w:val="24"/>
          <w:szCs w:val="24"/>
          <w:lang w:val="ca-ES"/>
        </w:rPr>
        <w:t xml:space="preserve">evidència </w:t>
      </w:r>
      <w:r w:rsidR="00E44B51" w:rsidRPr="00B376ED">
        <w:rPr>
          <w:rFonts w:ascii="Arial" w:hAnsi="Arial" w:cs="Arial"/>
          <w:sz w:val="24"/>
          <w:szCs w:val="24"/>
          <w:lang w:val="ca-ES"/>
        </w:rPr>
        <w:t xml:space="preserve">sobre aquests efectes </w:t>
      </w:r>
      <w:r w:rsidR="00BA6AA9" w:rsidRPr="00B376ED">
        <w:rPr>
          <w:rFonts w:ascii="Arial" w:hAnsi="Arial" w:cs="Arial"/>
          <w:sz w:val="24"/>
          <w:szCs w:val="24"/>
          <w:lang w:val="ca-ES"/>
        </w:rPr>
        <w:t>era de baixa qualitat</w:t>
      </w:r>
      <w:r w:rsidR="00E44B51" w:rsidRPr="00B376ED">
        <w:rPr>
          <w:rFonts w:ascii="Arial" w:hAnsi="Arial" w:cs="Arial"/>
          <w:sz w:val="24"/>
          <w:szCs w:val="24"/>
          <w:lang w:val="ca-ES"/>
        </w:rPr>
        <w:t xml:space="preserve"> per</w:t>
      </w:r>
      <w:r w:rsidR="00BA6AA9" w:rsidRPr="00B376ED">
        <w:rPr>
          <w:rFonts w:ascii="Arial" w:hAnsi="Arial" w:cs="Arial"/>
          <w:sz w:val="24"/>
          <w:szCs w:val="24"/>
          <w:lang w:val="ca-ES"/>
        </w:rPr>
        <w:t xml:space="preserve"> </w:t>
      </w:r>
      <w:r w:rsidR="00EE7AA5" w:rsidRPr="00B376ED">
        <w:rPr>
          <w:rFonts w:ascii="Arial" w:hAnsi="Arial" w:cs="Arial"/>
          <w:sz w:val="24"/>
          <w:szCs w:val="24"/>
          <w:lang w:val="ca-ES"/>
        </w:rPr>
        <w:t>l’</w:t>
      </w:r>
      <w:r w:rsidR="00674482" w:rsidRPr="00B376ED">
        <w:rPr>
          <w:rFonts w:ascii="Arial" w:hAnsi="Arial" w:cs="Arial"/>
          <w:sz w:val="24"/>
          <w:szCs w:val="24"/>
          <w:lang w:val="ca-ES"/>
        </w:rPr>
        <w:t xml:space="preserve">ansietat, </w:t>
      </w:r>
      <w:r w:rsidR="00EE7AA5" w:rsidRPr="00B376ED">
        <w:rPr>
          <w:rFonts w:ascii="Arial" w:hAnsi="Arial" w:cs="Arial"/>
          <w:sz w:val="24"/>
          <w:szCs w:val="24"/>
          <w:lang w:val="ca-ES"/>
        </w:rPr>
        <w:t xml:space="preserve">la </w:t>
      </w:r>
      <w:r w:rsidR="00674482" w:rsidRPr="00B376ED">
        <w:rPr>
          <w:rFonts w:ascii="Arial" w:hAnsi="Arial" w:cs="Arial"/>
          <w:sz w:val="24"/>
          <w:szCs w:val="24"/>
          <w:lang w:val="ca-ES"/>
        </w:rPr>
        <w:t>depressió</w:t>
      </w:r>
      <w:r w:rsidR="00BA6AA9" w:rsidRPr="00B376ED">
        <w:rPr>
          <w:rFonts w:ascii="Arial" w:hAnsi="Arial" w:cs="Arial"/>
          <w:sz w:val="24"/>
          <w:szCs w:val="24"/>
          <w:lang w:val="ca-ES"/>
        </w:rPr>
        <w:t xml:space="preserve"> i</w:t>
      </w:r>
      <w:r w:rsidR="00674482" w:rsidRPr="00B376ED">
        <w:rPr>
          <w:rFonts w:ascii="Arial" w:hAnsi="Arial" w:cs="Arial"/>
          <w:sz w:val="24"/>
          <w:szCs w:val="24"/>
          <w:lang w:val="ca-ES"/>
        </w:rPr>
        <w:t xml:space="preserve"> </w:t>
      </w:r>
      <w:r w:rsidR="00EE7AA5" w:rsidRPr="00B376ED">
        <w:rPr>
          <w:rFonts w:ascii="Arial" w:hAnsi="Arial" w:cs="Arial"/>
          <w:sz w:val="24"/>
          <w:szCs w:val="24"/>
          <w:lang w:val="ca-ES"/>
        </w:rPr>
        <w:t xml:space="preserve">la </w:t>
      </w:r>
      <w:r w:rsidR="00674482" w:rsidRPr="00B376ED">
        <w:rPr>
          <w:rFonts w:ascii="Arial" w:hAnsi="Arial" w:cs="Arial"/>
          <w:sz w:val="24"/>
          <w:szCs w:val="24"/>
          <w:lang w:val="ca-ES"/>
        </w:rPr>
        <w:t>qualitat de vida</w:t>
      </w:r>
      <w:r w:rsidR="00BA6AA9" w:rsidRPr="00B376ED">
        <w:rPr>
          <w:rFonts w:ascii="Arial" w:hAnsi="Arial" w:cs="Arial"/>
          <w:sz w:val="24"/>
          <w:szCs w:val="24"/>
          <w:lang w:val="ca-ES"/>
        </w:rPr>
        <w:t>,</w:t>
      </w:r>
      <w:r w:rsidR="00674482" w:rsidRPr="00B376ED">
        <w:rPr>
          <w:rFonts w:ascii="Arial" w:hAnsi="Arial" w:cs="Arial"/>
          <w:sz w:val="24"/>
          <w:szCs w:val="24"/>
          <w:lang w:val="ca-ES"/>
        </w:rPr>
        <w:t xml:space="preserve"> i insuficient</w:t>
      </w:r>
      <w:r w:rsidR="00BA6AA9" w:rsidRPr="00B376ED">
        <w:rPr>
          <w:rFonts w:ascii="Arial" w:hAnsi="Arial" w:cs="Arial"/>
          <w:sz w:val="24"/>
          <w:szCs w:val="24"/>
          <w:lang w:val="ca-ES"/>
        </w:rPr>
        <w:t xml:space="preserve"> pe</w:t>
      </w:r>
      <w:r w:rsidR="00E44B51" w:rsidRPr="00B376ED">
        <w:rPr>
          <w:rFonts w:ascii="Arial" w:hAnsi="Arial" w:cs="Arial"/>
          <w:sz w:val="24"/>
          <w:szCs w:val="24"/>
          <w:lang w:val="ca-ES"/>
        </w:rPr>
        <w:t xml:space="preserve">l </w:t>
      </w:r>
      <w:r w:rsidR="00674482" w:rsidRPr="00B376ED">
        <w:rPr>
          <w:rFonts w:ascii="Arial" w:hAnsi="Arial" w:cs="Arial"/>
          <w:sz w:val="24"/>
          <w:szCs w:val="24"/>
          <w:lang w:val="ca-ES"/>
        </w:rPr>
        <w:t>suïcidi</w:t>
      </w:r>
      <w:r w:rsidR="00535CAB" w:rsidRPr="00B376ED">
        <w:rPr>
          <w:rFonts w:ascii="Arial" w:hAnsi="Arial" w:cs="Arial"/>
          <w:sz w:val="24"/>
          <w:szCs w:val="24"/>
        </w:rPr>
        <w:fldChar w:fldCharType="begin"/>
      </w:r>
      <w:r w:rsidR="003035F6" w:rsidRPr="00B376ED">
        <w:rPr>
          <w:rFonts w:ascii="Arial" w:hAnsi="Arial" w:cs="Arial"/>
          <w:sz w:val="24"/>
          <w:szCs w:val="24"/>
        </w:rPr>
        <w:instrText xml:space="preserve"> ADDIN ZOTERO_ITEM CSL_CITATION {"citationID":"7dCj00ME","properties":{"formattedCitation":"\\super 7\\nosupersub{}","plainCitation":"7","noteIndex":0},"citationItems":[{"id":826,"uris":["http://zotero.org/users/9099299/items/44DP72SR"],"itemData":{"id":826,"type":"article-journal","abstract":"We sought to systematically review the effect of gender-affirming hormone therapy on psychological outcomes among transgender people. We searched PubMed, Embase, and PsycINFO through June 10, 2020 for studies evaluating quality of life (QOL), depression, anxiety, and death by suicide in the context of gender-affirming hormone therapy among transgender people of any age. We excluded case studies and studies reporting on less than 3 months of follow-up. We included 20 studies reported in 22 publications. Fifteen were trials or prospective cohorts, one was a retrospective cohort, and 4 were cross-sectional. Seven assessed QOL, 12 assessed depression, 8 assessed anxiety, and 1 assessed death by suicide.Three studies included trans-feminine people only; 7 included trans-masculine people only, and 10 included both. Three studies focused on adolescents. Hormone therapy was associated with increased QOL, decreased depression, and decreased anxiety. Associations were similar across gender identity and age. Certainty in this conclusion is limited by high risk of bias in study designs, small sample sizes, and confounding with other interventions. We could not draw any conclusions about death by suicide. Future studies should investigate the psychological benefits of hormone therapy among larger and more diverse groups of transgender people using study designs that more effectively isolate the effects of hormone treatment.","container-title":"Journal of the Endocrine Society","DOI":"10.1210/jendso/bvab011","ISSN":"2472-1972","issue":"4","language":"en","page":"bvab011","source":"DOI.org (Crossref)","title":"Hormone Therapy, Mental Health, and Quality of Life Among Transgender People: A Systematic Review","title-short":"Hormone Therapy, Mental Health, and Quality of Life Among Transgender People","volume":"5","author":[{"family":"Baker","given":"Kellan E"},{"family":"Wilson","given":"Lisa M"},{"family":"Sharma","given":"Ritu"},{"family":"Dukhanin","given":"Vadim"},{"family":"McArthur","given":"Kristen"},{"family":"Robinson","given":"Karen A"}],"issued":{"date-parts":[["2021",4,1]]}}}],"schema":"https://github.com/citation-style-language/schema/raw/master/csl-citation.json"} </w:instrText>
      </w:r>
      <w:r w:rsidR="00535CAB" w:rsidRPr="00B376ED">
        <w:rPr>
          <w:rFonts w:ascii="Arial" w:hAnsi="Arial" w:cs="Arial"/>
          <w:sz w:val="24"/>
          <w:szCs w:val="24"/>
        </w:rPr>
        <w:fldChar w:fldCharType="separate"/>
      </w:r>
      <w:r w:rsidR="003035F6" w:rsidRPr="00B376ED">
        <w:rPr>
          <w:rFonts w:ascii="Arial" w:hAnsi="Arial" w:cs="Arial"/>
          <w:sz w:val="24"/>
          <w:szCs w:val="24"/>
          <w:vertAlign w:val="superscript"/>
        </w:rPr>
        <w:t>7</w:t>
      </w:r>
      <w:r w:rsidR="00535CAB" w:rsidRPr="00B376ED">
        <w:rPr>
          <w:rFonts w:ascii="Arial" w:hAnsi="Arial" w:cs="Arial"/>
          <w:sz w:val="24"/>
          <w:szCs w:val="24"/>
        </w:rPr>
        <w:fldChar w:fldCharType="end"/>
      </w:r>
      <w:r w:rsidR="00674482" w:rsidRPr="00B376ED">
        <w:rPr>
          <w:rFonts w:ascii="Arial" w:hAnsi="Arial" w:cs="Arial"/>
          <w:sz w:val="24"/>
          <w:szCs w:val="24"/>
          <w:lang w:val="ca-ES"/>
        </w:rPr>
        <w:t>.</w:t>
      </w:r>
      <w:r w:rsidR="00583D7D" w:rsidRPr="00B376ED">
        <w:rPr>
          <w:rFonts w:ascii="Arial" w:hAnsi="Arial" w:cs="Arial"/>
          <w:sz w:val="24"/>
          <w:szCs w:val="24"/>
          <w:lang w:val="ca-ES"/>
        </w:rPr>
        <w:t xml:space="preserve"> L’any passat, l’Acadèmia Americana de Pediatria va anunciar que duria a terme la seva pròpia revisió</w:t>
      </w:r>
      <w:r w:rsidR="00583D7D" w:rsidRPr="00B376ED">
        <w:rPr>
          <w:rFonts w:ascii="Arial" w:hAnsi="Arial" w:cs="Arial"/>
          <w:sz w:val="24"/>
          <w:szCs w:val="24"/>
        </w:rPr>
        <w:fldChar w:fldCharType="begin"/>
      </w:r>
      <w:r w:rsidR="00583D7D" w:rsidRPr="00B376ED">
        <w:rPr>
          <w:rFonts w:ascii="Arial" w:hAnsi="Arial" w:cs="Arial"/>
          <w:sz w:val="24"/>
          <w:szCs w:val="24"/>
          <w:lang w:val="ca-ES"/>
        </w:rPr>
        <w:instrText xml:space="preserve"> ADDIN ZOTERO_ITEM CSL_CITATION {"citationID":"cffYo5Tc","properties":{"formattedCitation":"\\super 8\\nosupersub{}","plainCitation":"8","noteIndex":0},"citationItems":[{"id":827,"uris":["http://zotero.org/users/9099299/items/XCIRKL9P"],"itemData":{"id":827,"type":"article-journal","abstract":"The board's decision reflects concerns about restrictions to access to health care with bans on gender-affirming care in more than 20 states.","language":"English","source":"publications.aap.org","title":"AAP reaffirms gender-affirming care policy, authorizes systematic review of evidence to guide update","URL":"https://publications.aap.org/aapnews/news/25340/AAP-reaffirms-gender-affirming-care-policy","author":[{"family":"Wyckoff","given":"Alyson Sulaski"},{"family":"Editor","given":"Associate"}],"accessed":{"date-parts":[["2024",1,24]]},"issued":{"date-parts":[["2023",4,8]]}}}],"schema":"https://github.com/citation-style-language/schema/raw/master/csl-citation.json"} </w:instrText>
      </w:r>
      <w:r w:rsidR="00583D7D" w:rsidRPr="00B376ED">
        <w:rPr>
          <w:rFonts w:ascii="Arial" w:hAnsi="Arial" w:cs="Arial"/>
          <w:sz w:val="24"/>
          <w:szCs w:val="24"/>
        </w:rPr>
        <w:fldChar w:fldCharType="separate"/>
      </w:r>
      <w:r w:rsidR="00583D7D" w:rsidRPr="00B376ED">
        <w:rPr>
          <w:rFonts w:ascii="Arial" w:hAnsi="Arial" w:cs="Arial"/>
          <w:sz w:val="24"/>
          <w:szCs w:val="24"/>
          <w:vertAlign w:val="superscript"/>
          <w:lang w:val="ca-ES"/>
        </w:rPr>
        <w:t>8</w:t>
      </w:r>
      <w:r w:rsidR="00583D7D" w:rsidRPr="00B376ED">
        <w:rPr>
          <w:rFonts w:ascii="Arial" w:hAnsi="Arial" w:cs="Arial"/>
          <w:sz w:val="24"/>
          <w:szCs w:val="24"/>
        </w:rPr>
        <w:fldChar w:fldCharType="end"/>
      </w:r>
      <w:r w:rsidR="00583D7D" w:rsidRPr="00B376ED">
        <w:rPr>
          <w:rFonts w:ascii="Arial" w:hAnsi="Arial" w:cs="Arial"/>
          <w:sz w:val="24"/>
          <w:szCs w:val="24"/>
        </w:rPr>
        <w:t>.</w:t>
      </w:r>
    </w:p>
    <w:p w14:paraId="3133848D" w14:textId="5D5A16BB" w:rsidR="00513B1D" w:rsidRDefault="004A2A3E" w:rsidP="00E03DB9">
      <w:pPr>
        <w:spacing w:line="240" w:lineRule="auto"/>
        <w:jc w:val="both"/>
        <w:rPr>
          <w:rFonts w:ascii="Arial" w:hAnsi="Arial" w:cs="Arial"/>
          <w:sz w:val="24"/>
          <w:szCs w:val="24"/>
          <w:lang w:val="ca-ES"/>
        </w:rPr>
      </w:pPr>
      <w:r>
        <w:rPr>
          <w:rFonts w:ascii="Arial" w:hAnsi="Arial" w:cs="Arial"/>
          <w:sz w:val="24"/>
          <w:szCs w:val="24"/>
          <w:lang w:val="ca-ES"/>
        </w:rPr>
        <w:t>E</w:t>
      </w:r>
      <w:r w:rsidR="00D802A1" w:rsidRPr="00B376ED">
        <w:rPr>
          <w:rFonts w:ascii="Arial" w:hAnsi="Arial" w:cs="Arial"/>
          <w:sz w:val="24"/>
          <w:szCs w:val="24"/>
          <w:lang w:val="ca-ES"/>
        </w:rPr>
        <w:t xml:space="preserve">l Consell de Col·legis de Metges de Catalunya s’ha posicionat sobre </w:t>
      </w:r>
      <w:r w:rsidR="00A56DD4">
        <w:rPr>
          <w:rFonts w:ascii="Arial" w:hAnsi="Arial" w:cs="Arial"/>
          <w:sz w:val="24"/>
          <w:szCs w:val="24"/>
          <w:lang w:val="ca-ES"/>
        </w:rPr>
        <w:t>l’atenció a persones amb incongruència o disfòria de gènere</w:t>
      </w:r>
      <w:r w:rsidR="00D802A1" w:rsidRPr="00B376ED">
        <w:rPr>
          <w:rFonts w:ascii="Arial" w:hAnsi="Arial" w:cs="Arial"/>
          <w:sz w:val="24"/>
          <w:szCs w:val="24"/>
          <w:lang w:val="ca-ES"/>
        </w:rPr>
        <w:t xml:space="preserve">, </w:t>
      </w:r>
      <w:r w:rsidR="009A30B1" w:rsidRPr="00B376ED">
        <w:rPr>
          <w:rFonts w:ascii="Arial" w:hAnsi="Arial" w:cs="Arial"/>
          <w:sz w:val="24"/>
          <w:szCs w:val="24"/>
          <w:lang w:val="ca-ES"/>
        </w:rPr>
        <w:t>destacant</w:t>
      </w:r>
      <w:r w:rsidR="00D802A1" w:rsidRPr="00B376ED">
        <w:rPr>
          <w:rFonts w:ascii="Arial" w:hAnsi="Arial" w:cs="Arial"/>
          <w:sz w:val="24"/>
          <w:szCs w:val="24"/>
          <w:lang w:val="ca-ES"/>
        </w:rPr>
        <w:t xml:space="preserve"> la importància </w:t>
      </w:r>
      <w:r w:rsidR="00551B12" w:rsidRPr="00B376ED">
        <w:rPr>
          <w:rFonts w:ascii="Arial" w:hAnsi="Arial" w:cs="Arial"/>
          <w:sz w:val="24"/>
          <w:szCs w:val="24"/>
          <w:lang w:val="ca-ES"/>
        </w:rPr>
        <w:t xml:space="preserve">de </w:t>
      </w:r>
      <w:r w:rsidR="006813B6" w:rsidRPr="00B376ED">
        <w:rPr>
          <w:rFonts w:ascii="Arial" w:hAnsi="Arial" w:cs="Arial"/>
          <w:sz w:val="24"/>
          <w:szCs w:val="24"/>
          <w:lang w:val="ca-ES"/>
        </w:rPr>
        <w:t>les avaluacions psicològiques abans d’iniciar cap tractament</w:t>
      </w:r>
      <w:r w:rsidR="00A740B9" w:rsidRPr="00B376ED">
        <w:rPr>
          <w:rFonts w:ascii="Arial" w:hAnsi="Arial" w:cs="Arial"/>
          <w:sz w:val="24"/>
          <w:szCs w:val="24"/>
          <w:lang w:val="ca-ES"/>
        </w:rPr>
        <w:t>,</w:t>
      </w:r>
      <w:r w:rsidR="00551B12" w:rsidRPr="00B376ED">
        <w:rPr>
          <w:rFonts w:ascii="Arial" w:hAnsi="Arial" w:cs="Arial"/>
          <w:sz w:val="24"/>
          <w:szCs w:val="24"/>
          <w:lang w:val="ca-ES"/>
        </w:rPr>
        <w:t xml:space="preserve"> i </w:t>
      </w:r>
      <w:r w:rsidR="00D802A1" w:rsidRPr="00B376ED">
        <w:rPr>
          <w:rFonts w:ascii="Arial" w:hAnsi="Arial" w:cs="Arial"/>
          <w:sz w:val="24"/>
          <w:szCs w:val="24"/>
          <w:lang w:val="ca-ES"/>
        </w:rPr>
        <w:t xml:space="preserve">que els </w:t>
      </w:r>
      <w:r w:rsidR="00FF786C" w:rsidRPr="00B376ED">
        <w:rPr>
          <w:rFonts w:ascii="Arial" w:hAnsi="Arial" w:cs="Arial"/>
          <w:sz w:val="24"/>
          <w:szCs w:val="24"/>
          <w:lang w:val="ca-ES"/>
        </w:rPr>
        <w:t>metges</w:t>
      </w:r>
      <w:r w:rsidR="00D802A1" w:rsidRPr="00B376ED">
        <w:rPr>
          <w:rFonts w:ascii="Arial" w:hAnsi="Arial" w:cs="Arial"/>
          <w:sz w:val="24"/>
          <w:szCs w:val="24"/>
          <w:lang w:val="ca-ES"/>
        </w:rPr>
        <w:t xml:space="preserve"> recomanin</w:t>
      </w:r>
      <w:r w:rsidR="003D24ED">
        <w:rPr>
          <w:rFonts w:ascii="Arial" w:hAnsi="Arial" w:cs="Arial"/>
          <w:sz w:val="24"/>
          <w:szCs w:val="24"/>
          <w:lang w:val="ca-ES"/>
        </w:rPr>
        <w:t xml:space="preserve"> intervencions terapèutiques</w:t>
      </w:r>
      <w:r w:rsidR="00D802A1" w:rsidRPr="00B376ED">
        <w:rPr>
          <w:rFonts w:ascii="Arial" w:hAnsi="Arial" w:cs="Arial"/>
          <w:sz w:val="24"/>
          <w:szCs w:val="24"/>
          <w:lang w:val="ca-ES"/>
        </w:rPr>
        <w:t xml:space="preserve"> avala</w:t>
      </w:r>
      <w:r w:rsidR="003D24ED">
        <w:rPr>
          <w:rFonts w:ascii="Arial" w:hAnsi="Arial" w:cs="Arial"/>
          <w:sz w:val="24"/>
          <w:szCs w:val="24"/>
          <w:lang w:val="ca-ES"/>
        </w:rPr>
        <w:t>des</w:t>
      </w:r>
      <w:r w:rsidR="00D802A1" w:rsidRPr="00B376ED">
        <w:rPr>
          <w:rFonts w:ascii="Arial" w:hAnsi="Arial" w:cs="Arial"/>
          <w:sz w:val="24"/>
          <w:szCs w:val="24"/>
          <w:lang w:val="ca-ES"/>
        </w:rPr>
        <w:t xml:space="preserve"> per l’evidència científica</w:t>
      </w:r>
      <w:r w:rsidR="00B22655" w:rsidRPr="00B376ED">
        <w:rPr>
          <w:rFonts w:ascii="Arial" w:hAnsi="Arial" w:cs="Arial"/>
          <w:sz w:val="24"/>
          <w:szCs w:val="24"/>
          <w:lang w:val="ca-ES"/>
        </w:rPr>
        <w:fldChar w:fldCharType="begin"/>
      </w:r>
      <w:r w:rsidR="00B22655" w:rsidRPr="00B376ED">
        <w:rPr>
          <w:rFonts w:ascii="Arial" w:hAnsi="Arial" w:cs="Arial"/>
          <w:sz w:val="24"/>
          <w:szCs w:val="24"/>
          <w:lang w:val="ca-ES"/>
        </w:rPr>
        <w:instrText xml:space="preserve"> ADDIN ZOTERO_ITEM CSL_CITATION {"citationID":"SpFzN9x3","properties":{"formattedCitation":"\\super 9\\nosupersub{}","plainCitation":"9","noteIndex":0},"citationItems":[{"id":857,"uris":["http://zotero.org/users/9099299/items/97U85TKM"],"itemData":{"id":857,"type":"webpage","title":"L’atenció a la diversitat de gènere en persones menors d’edat","URL":"https://www.ccmc.cat/Upload/Documents/9/8/9893.PDF","author":[{"family":"Consell de Col·legis de Metges de Catalunya","given":""}],"accessed":{"date-parts":[["2024",1,24]]}}}],"schema":"https://github.com/citation-style-language/schema/raw/master/csl-citation.json"} </w:instrText>
      </w:r>
      <w:r w:rsidR="00B22655" w:rsidRPr="00B376ED">
        <w:rPr>
          <w:rFonts w:ascii="Arial" w:hAnsi="Arial" w:cs="Arial"/>
          <w:sz w:val="24"/>
          <w:szCs w:val="24"/>
          <w:lang w:val="ca-ES"/>
        </w:rPr>
        <w:fldChar w:fldCharType="separate"/>
      </w:r>
      <w:r w:rsidR="00B22655" w:rsidRPr="00B376ED">
        <w:rPr>
          <w:rFonts w:ascii="Arial" w:hAnsi="Arial" w:cs="Arial"/>
          <w:sz w:val="24"/>
          <w:szCs w:val="24"/>
          <w:vertAlign w:val="superscript"/>
        </w:rPr>
        <w:t>9</w:t>
      </w:r>
      <w:r w:rsidR="00B22655" w:rsidRPr="00B376ED">
        <w:rPr>
          <w:rFonts w:ascii="Arial" w:hAnsi="Arial" w:cs="Arial"/>
          <w:sz w:val="24"/>
          <w:szCs w:val="24"/>
          <w:lang w:val="ca-ES"/>
        </w:rPr>
        <w:fldChar w:fldCharType="end"/>
      </w:r>
      <w:r w:rsidR="00AC368F" w:rsidRPr="00B376ED">
        <w:rPr>
          <w:rFonts w:ascii="Arial" w:hAnsi="Arial" w:cs="Arial"/>
          <w:sz w:val="24"/>
          <w:szCs w:val="24"/>
          <w:lang w:val="ca-ES"/>
        </w:rPr>
        <w:t xml:space="preserve">. </w:t>
      </w:r>
      <w:r>
        <w:rPr>
          <w:rFonts w:ascii="Arial" w:hAnsi="Arial" w:cs="Arial"/>
          <w:sz w:val="24"/>
          <w:szCs w:val="24"/>
          <w:lang w:val="ca-ES"/>
        </w:rPr>
        <w:t>També</w:t>
      </w:r>
      <w:r w:rsidR="00C65922">
        <w:rPr>
          <w:rFonts w:ascii="Arial" w:hAnsi="Arial" w:cs="Arial"/>
          <w:sz w:val="24"/>
          <w:szCs w:val="24"/>
          <w:lang w:val="ca-ES"/>
        </w:rPr>
        <w:t xml:space="preserve"> l</w:t>
      </w:r>
      <w:r w:rsidR="001D2DC2" w:rsidRPr="00B376ED">
        <w:rPr>
          <w:rFonts w:ascii="Arial" w:hAnsi="Arial" w:cs="Arial"/>
          <w:sz w:val="24"/>
          <w:szCs w:val="24"/>
          <w:lang w:val="ca-ES"/>
        </w:rPr>
        <w:t>’Acadèmia Nacional de Med</w:t>
      </w:r>
      <w:r w:rsidR="00591FDC">
        <w:rPr>
          <w:rFonts w:ascii="Arial" w:hAnsi="Arial" w:cs="Arial"/>
          <w:sz w:val="24"/>
          <w:szCs w:val="24"/>
          <w:lang w:val="ca-ES"/>
        </w:rPr>
        <w:t>i</w:t>
      </w:r>
      <w:r w:rsidR="001D2DC2" w:rsidRPr="00B376ED">
        <w:rPr>
          <w:rFonts w:ascii="Arial" w:hAnsi="Arial" w:cs="Arial"/>
          <w:sz w:val="24"/>
          <w:szCs w:val="24"/>
          <w:lang w:val="ca-ES"/>
        </w:rPr>
        <w:t xml:space="preserve">cina de França </w:t>
      </w:r>
      <w:r w:rsidR="003D1868" w:rsidRPr="00B376ED">
        <w:rPr>
          <w:rFonts w:ascii="Arial" w:hAnsi="Arial" w:cs="Arial"/>
          <w:sz w:val="24"/>
          <w:szCs w:val="24"/>
          <w:lang w:val="ca-ES"/>
        </w:rPr>
        <w:t>aconsella</w:t>
      </w:r>
      <w:r w:rsidR="00B425FA" w:rsidRPr="00B376ED">
        <w:rPr>
          <w:rFonts w:ascii="Arial" w:hAnsi="Arial" w:cs="Arial"/>
          <w:sz w:val="24"/>
          <w:szCs w:val="24"/>
          <w:lang w:val="ca-ES"/>
        </w:rPr>
        <w:t xml:space="preserve"> que l’ús dels bloquejadors de la pubertat es faci amb la </w:t>
      </w:r>
      <w:r w:rsidR="004026C7" w:rsidRPr="00B376ED">
        <w:rPr>
          <w:rFonts w:ascii="Arial" w:hAnsi="Arial" w:cs="Arial"/>
          <w:sz w:val="24"/>
          <w:szCs w:val="24"/>
          <w:lang w:val="ca-ES"/>
        </w:rPr>
        <w:t>cautela més gran</w:t>
      </w:r>
      <w:r w:rsidR="00D44CC5" w:rsidRPr="00B376ED">
        <w:rPr>
          <w:rFonts w:ascii="Arial" w:hAnsi="Arial" w:cs="Arial"/>
          <w:sz w:val="24"/>
          <w:szCs w:val="24"/>
          <w:lang w:val="ca-ES"/>
        </w:rPr>
        <w:t>,</w:t>
      </w:r>
      <w:r w:rsidR="001734C7" w:rsidRPr="00B376ED">
        <w:rPr>
          <w:rFonts w:ascii="Arial" w:hAnsi="Arial" w:cs="Arial"/>
          <w:sz w:val="24"/>
          <w:szCs w:val="24"/>
          <w:lang w:val="ca-ES"/>
        </w:rPr>
        <w:t xml:space="preserve"> tant pels efectes secundaris com pel</w:t>
      </w:r>
      <w:r w:rsidR="00083853" w:rsidRPr="00B376ED">
        <w:rPr>
          <w:rFonts w:ascii="Arial" w:hAnsi="Arial" w:cs="Arial"/>
          <w:sz w:val="24"/>
          <w:szCs w:val="24"/>
          <w:lang w:val="ca-ES"/>
        </w:rPr>
        <w:t xml:space="preserve"> risc de sobrediagnòstic</w:t>
      </w:r>
      <w:r w:rsidR="00535CAB" w:rsidRPr="00B376ED">
        <w:rPr>
          <w:rFonts w:ascii="Arial" w:hAnsi="Arial" w:cs="Arial"/>
          <w:sz w:val="24"/>
          <w:szCs w:val="24"/>
        </w:rPr>
        <w:fldChar w:fldCharType="begin"/>
      </w:r>
      <w:r w:rsidR="00B22655" w:rsidRPr="00B376ED">
        <w:rPr>
          <w:rFonts w:ascii="Arial" w:hAnsi="Arial" w:cs="Arial"/>
          <w:sz w:val="24"/>
          <w:szCs w:val="24"/>
        </w:rPr>
        <w:instrText xml:space="preserve"> ADDIN ZOTERO_ITEM CSL_CITATION {"citationID":"MdpAjWRs","properties":{"formattedCitation":"\\super 10\\nosupersub{}","plainCitation":"10","noteIndex":0},"citationItems":[{"id":840,"uris":["http://zotero.org/users/9099299/items/A8AFN9TT"],"itemData":{"id":840,"type":"post-weblog","language":"en-US","title":"Medicine and gender transidentity in children and adolescents – Académie nationale de médecine | Une institution dans son temps","URL":"https://www.academie-medecine.fr/la-medecine-face-a-la-transidentite-de-genre-chez-les-enfants-et-les-adolescents/?lang=en","accessed":{"date-parts":[["2024",1,24]]}}}],"schema":"https://github.com/citation-style-language/schema/raw/master/csl-citation.json"} </w:instrText>
      </w:r>
      <w:r w:rsidR="00535CAB" w:rsidRPr="00B376ED">
        <w:rPr>
          <w:rFonts w:ascii="Arial" w:hAnsi="Arial" w:cs="Arial"/>
          <w:sz w:val="24"/>
          <w:szCs w:val="24"/>
        </w:rPr>
        <w:fldChar w:fldCharType="separate"/>
      </w:r>
      <w:r w:rsidR="00B22655" w:rsidRPr="00B376ED">
        <w:rPr>
          <w:rFonts w:ascii="Arial" w:hAnsi="Arial" w:cs="Arial"/>
          <w:sz w:val="24"/>
          <w:szCs w:val="24"/>
          <w:vertAlign w:val="superscript"/>
        </w:rPr>
        <w:t>10</w:t>
      </w:r>
      <w:r w:rsidR="00535CAB" w:rsidRPr="00B376ED">
        <w:rPr>
          <w:rFonts w:ascii="Arial" w:hAnsi="Arial" w:cs="Arial"/>
          <w:sz w:val="24"/>
          <w:szCs w:val="24"/>
        </w:rPr>
        <w:fldChar w:fldCharType="end"/>
      </w:r>
      <w:r w:rsidR="00083853" w:rsidRPr="00B376ED">
        <w:rPr>
          <w:rFonts w:ascii="Arial" w:hAnsi="Arial" w:cs="Arial"/>
          <w:sz w:val="24"/>
          <w:szCs w:val="24"/>
          <w:lang w:val="ca-ES"/>
        </w:rPr>
        <w:t xml:space="preserve">. </w:t>
      </w:r>
    </w:p>
    <w:p w14:paraId="5F8AE113" w14:textId="3DDA5B2F" w:rsidR="00790724" w:rsidRPr="00B376ED" w:rsidRDefault="00D15E7B" w:rsidP="00E03DB9">
      <w:pPr>
        <w:spacing w:line="240" w:lineRule="auto"/>
        <w:jc w:val="both"/>
        <w:rPr>
          <w:rFonts w:ascii="Arial" w:hAnsi="Arial" w:cs="Arial"/>
          <w:sz w:val="24"/>
          <w:szCs w:val="24"/>
          <w:lang w:val="ca-ES"/>
        </w:rPr>
      </w:pPr>
      <w:r>
        <w:rPr>
          <w:rFonts w:ascii="Arial" w:hAnsi="Arial" w:cs="Arial"/>
          <w:sz w:val="24"/>
          <w:szCs w:val="24"/>
          <w:lang w:val="ca-ES"/>
        </w:rPr>
        <w:t>E</w:t>
      </w:r>
      <w:r w:rsidR="00AA272D" w:rsidRPr="00B376ED">
        <w:rPr>
          <w:rFonts w:ascii="Arial" w:hAnsi="Arial" w:cs="Arial"/>
          <w:sz w:val="24"/>
          <w:szCs w:val="24"/>
          <w:lang w:val="ca-ES"/>
        </w:rPr>
        <w:t>l</w:t>
      </w:r>
      <w:r w:rsidR="006507EF" w:rsidRPr="00B376ED">
        <w:rPr>
          <w:rFonts w:ascii="Arial" w:hAnsi="Arial" w:cs="Arial"/>
          <w:sz w:val="24"/>
          <w:szCs w:val="24"/>
          <w:lang w:val="ca-ES"/>
        </w:rPr>
        <w:t xml:space="preserve"> model d’atenció de Catalunya </w:t>
      </w:r>
      <w:r w:rsidR="00C354A7" w:rsidRPr="00B376ED">
        <w:rPr>
          <w:rFonts w:ascii="Arial" w:hAnsi="Arial" w:cs="Arial"/>
          <w:sz w:val="24"/>
          <w:szCs w:val="24"/>
          <w:lang w:val="ca-ES"/>
        </w:rPr>
        <w:t>s</w:t>
      </w:r>
      <w:r w:rsidR="008E6200" w:rsidRPr="00B376ED">
        <w:rPr>
          <w:rFonts w:ascii="Arial" w:hAnsi="Arial" w:cs="Arial"/>
          <w:sz w:val="24"/>
          <w:szCs w:val="24"/>
          <w:lang w:val="ca-ES"/>
        </w:rPr>
        <w:t xml:space="preserve">’allunya </w:t>
      </w:r>
      <w:r w:rsidR="00C354A7" w:rsidRPr="00B376ED">
        <w:rPr>
          <w:rFonts w:ascii="Arial" w:hAnsi="Arial" w:cs="Arial"/>
          <w:sz w:val="24"/>
          <w:szCs w:val="24"/>
          <w:lang w:val="ca-ES"/>
        </w:rPr>
        <w:t xml:space="preserve">d’aquestes recomanacions i </w:t>
      </w:r>
      <w:r w:rsidR="008E6200" w:rsidRPr="00B376ED">
        <w:rPr>
          <w:rFonts w:ascii="Arial" w:hAnsi="Arial" w:cs="Arial"/>
          <w:sz w:val="24"/>
          <w:szCs w:val="24"/>
          <w:lang w:val="ca-ES"/>
        </w:rPr>
        <w:t xml:space="preserve">de les pràctiques </w:t>
      </w:r>
      <w:r w:rsidR="00F003F3" w:rsidRPr="00B376ED">
        <w:rPr>
          <w:rFonts w:ascii="Arial" w:hAnsi="Arial" w:cs="Arial"/>
          <w:sz w:val="24"/>
          <w:szCs w:val="24"/>
          <w:lang w:val="ca-ES"/>
        </w:rPr>
        <w:t>de</w:t>
      </w:r>
      <w:r w:rsidR="008E6200" w:rsidRPr="00B376ED">
        <w:rPr>
          <w:rFonts w:ascii="Arial" w:hAnsi="Arial" w:cs="Arial"/>
          <w:sz w:val="24"/>
          <w:szCs w:val="24"/>
          <w:lang w:val="ca-ES"/>
        </w:rPr>
        <w:t xml:space="preserve"> països del nostre entorn, </w:t>
      </w:r>
      <w:r w:rsidR="001E3337" w:rsidRPr="00B376ED">
        <w:rPr>
          <w:rFonts w:ascii="Arial" w:hAnsi="Arial" w:cs="Arial"/>
          <w:sz w:val="24"/>
          <w:szCs w:val="24"/>
          <w:lang w:val="ca-ES"/>
        </w:rPr>
        <w:t xml:space="preserve">ja que no requereix cap prova ni avaluació diagnòstica per iniciar els tractaments hormonals, </w:t>
      </w:r>
      <w:r w:rsidR="00BD21FF" w:rsidRPr="00B376ED">
        <w:rPr>
          <w:rFonts w:ascii="Arial" w:hAnsi="Arial" w:cs="Arial"/>
          <w:sz w:val="24"/>
          <w:szCs w:val="24"/>
          <w:lang w:val="ca-ES"/>
        </w:rPr>
        <w:t xml:space="preserve">tampoc </w:t>
      </w:r>
      <w:r w:rsidR="001E3337" w:rsidRPr="00B376ED">
        <w:rPr>
          <w:rFonts w:ascii="Arial" w:hAnsi="Arial" w:cs="Arial"/>
          <w:sz w:val="24"/>
          <w:szCs w:val="24"/>
          <w:lang w:val="ca-ES"/>
        </w:rPr>
        <w:t xml:space="preserve">en menors d’edat. </w:t>
      </w:r>
      <w:r w:rsidR="00EE0709" w:rsidRPr="00B376ED">
        <w:rPr>
          <w:rFonts w:ascii="Arial" w:hAnsi="Arial" w:cs="Arial"/>
          <w:sz w:val="24"/>
          <w:szCs w:val="24"/>
          <w:lang w:val="ca-ES"/>
        </w:rPr>
        <w:t>En el cas dels adults</w:t>
      </w:r>
      <w:r w:rsidR="00F2053A" w:rsidRPr="00B376ED">
        <w:rPr>
          <w:rFonts w:ascii="Arial" w:hAnsi="Arial" w:cs="Arial"/>
          <w:sz w:val="24"/>
          <w:szCs w:val="24"/>
          <w:lang w:val="ca-ES"/>
        </w:rPr>
        <w:t>, permet que l’ús dels preparats hormonals sigui exclòs de l</w:t>
      </w:r>
      <w:r w:rsidR="007476AA" w:rsidRPr="00B376ED">
        <w:rPr>
          <w:rFonts w:ascii="Arial" w:hAnsi="Arial" w:cs="Arial"/>
          <w:sz w:val="24"/>
          <w:szCs w:val="24"/>
          <w:lang w:val="ca-ES"/>
        </w:rPr>
        <w:t xml:space="preserve">a </w:t>
      </w:r>
      <w:r w:rsidR="00F2053A" w:rsidRPr="00B376ED">
        <w:rPr>
          <w:rFonts w:ascii="Arial" w:hAnsi="Arial" w:cs="Arial"/>
          <w:sz w:val="24"/>
          <w:szCs w:val="24"/>
          <w:lang w:val="ca-ES"/>
        </w:rPr>
        <w:t>història clínica</w:t>
      </w:r>
      <w:r w:rsidR="005E03FD" w:rsidRPr="00B376ED">
        <w:rPr>
          <w:rFonts w:ascii="Arial" w:hAnsi="Arial" w:cs="Arial"/>
          <w:sz w:val="24"/>
          <w:szCs w:val="24"/>
          <w:lang w:val="ca-ES"/>
        </w:rPr>
        <w:t xml:space="preserve"> i</w:t>
      </w:r>
      <w:r w:rsidR="00451661" w:rsidRPr="00B376ED">
        <w:rPr>
          <w:rFonts w:ascii="Arial" w:hAnsi="Arial" w:cs="Arial"/>
          <w:sz w:val="24"/>
          <w:szCs w:val="24"/>
          <w:lang w:val="ca-ES"/>
        </w:rPr>
        <w:t xml:space="preserve"> que </w:t>
      </w:r>
      <w:r w:rsidR="000357B2" w:rsidRPr="00B376ED">
        <w:rPr>
          <w:rFonts w:ascii="Arial" w:hAnsi="Arial" w:cs="Arial"/>
          <w:sz w:val="24"/>
          <w:szCs w:val="24"/>
          <w:lang w:val="ca-ES"/>
        </w:rPr>
        <w:t>les receptes</w:t>
      </w:r>
      <w:r w:rsidR="00451661" w:rsidRPr="00B376ED">
        <w:rPr>
          <w:rFonts w:ascii="Arial" w:hAnsi="Arial" w:cs="Arial"/>
          <w:sz w:val="24"/>
          <w:szCs w:val="24"/>
          <w:lang w:val="ca-ES"/>
        </w:rPr>
        <w:t xml:space="preserve"> es </w:t>
      </w:r>
      <w:r w:rsidR="000357B2" w:rsidRPr="00B376ED">
        <w:rPr>
          <w:rFonts w:ascii="Arial" w:hAnsi="Arial" w:cs="Arial"/>
          <w:sz w:val="24"/>
          <w:szCs w:val="24"/>
          <w:lang w:val="ca-ES"/>
        </w:rPr>
        <w:t>facin</w:t>
      </w:r>
      <w:r w:rsidR="00451661" w:rsidRPr="00B376ED">
        <w:rPr>
          <w:rFonts w:ascii="Arial" w:hAnsi="Arial" w:cs="Arial"/>
          <w:sz w:val="24"/>
          <w:szCs w:val="24"/>
          <w:lang w:val="ca-ES"/>
        </w:rPr>
        <w:t xml:space="preserve"> manualment,</w:t>
      </w:r>
      <w:r w:rsidR="005E03FD" w:rsidRPr="00B376ED">
        <w:rPr>
          <w:rFonts w:ascii="Arial" w:hAnsi="Arial" w:cs="Arial"/>
          <w:sz w:val="24"/>
          <w:szCs w:val="24"/>
          <w:lang w:val="ca-ES"/>
        </w:rPr>
        <w:t xml:space="preserve"> per </w:t>
      </w:r>
      <w:r w:rsidR="00D82C74" w:rsidRPr="00B376ED">
        <w:rPr>
          <w:rFonts w:ascii="Arial" w:hAnsi="Arial" w:cs="Arial"/>
          <w:sz w:val="24"/>
          <w:szCs w:val="24"/>
          <w:lang w:val="ca-ES"/>
        </w:rPr>
        <w:t>tal d’</w:t>
      </w:r>
      <w:r w:rsidR="005E03FD" w:rsidRPr="00B376ED">
        <w:rPr>
          <w:rFonts w:ascii="Arial" w:hAnsi="Arial" w:cs="Arial"/>
          <w:sz w:val="24"/>
          <w:szCs w:val="24"/>
          <w:lang w:val="ca-ES"/>
        </w:rPr>
        <w:t xml:space="preserve">evitar que </w:t>
      </w:r>
      <w:r w:rsidR="00C416BD">
        <w:rPr>
          <w:rFonts w:ascii="Arial" w:hAnsi="Arial" w:cs="Arial"/>
          <w:sz w:val="24"/>
          <w:szCs w:val="24"/>
          <w:lang w:val="ca-ES"/>
        </w:rPr>
        <w:t>la</w:t>
      </w:r>
      <w:r w:rsidR="005E03FD" w:rsidRPr="00B376ED">
        <w:rPr>
          <w:rFonts w:ascii="Arial" w:hAnsi="Arial" w:cs="Arial"/>
          <w:sz w:val="24"/>
          <w:szCs w:val="24"/>
          <w:lang w:val="ca-ES"/>
        </w:rPr>
        <w:t xml:space="preserve"> informació arribi al metge de capçalera</w:t>
      </w:r>
      <w:r w:rsidR="00D63C3E" w:rsidRPr="00B376ED">
        <w:rPr>
          <w:rFonts w:ascii="Arial" w:hAnsi="Arial" w:cs="Arial"/>
          <w:sz w:val="24"/>
          <w:szCs w:val="24"/>
          <w:lang w:val="ca-ES"/>
        </w:rPr>
        <w:fldChar w:fldCharType="begin"/>
      </w:r>
      <w:r w:rsidR="00B22655" w:rsidRPr="00B376ED">
        <w:rPr>
          <w:rFonts w:ascii="Arial" w:hAnsi="Arial" w:cs="Arial"/>
          <w:sz w:val="24"/>
          <w:szCs w:val="24"/>
          <w:lang w:val="ca-ES"/>
        </w:rPr>
        <w:instrText xml:space="preserve"> ADDIN ZOTERO_ITEM CSL_CITATION {"citationID":"o8yBGuCb","properties":{"formattedCitation":"\\super 11\\nosupersub{}","plainCitation":"11","noteIndex":0},"citationItems":[{"id":837,"uris":["http://zotero.org/users/9099299/items/YUPMMU8F"],"itemData":{"id":837,"type":"article-journal","abstract":"L'objectiu d'aquest document és l'ordenació de la cartera de serveis de l’atenció a la salut de les persones trans en el seu procés de transició en la identitat de gènere sentida a càrrec del sistema sanitari públic de Catalunya a partir d’un model consensuat i d’un protocol clínic marc per a l’atenció de la salut.","container-title":"Scientia","language":"cat","license":"Attribution-NonCommercial-NoDerivatives 4.0 International","note":"Accepted: 2019-04-01T12:01:57Z\npublisher: Direcció General de Planificació en Salut","source":"scientiasalut.gencat.cat","title":"Model d’atenció a la salut de les persones trans*","URL":"https://scientiasalut.gencat.cat/handle/11351/3959","author":[{"family":"Escuriet-Peiró","given":"Ramon"},{"family":"Magrinyà-Rull","given":"Pilar"},{"family":"Mompart-Penina","given":"Anna"},{"family":"Nadal","given":"Cristina"},{"family":"Padró Pitarch","given":"Lydia"},{"family":"Plaza","given":"Aina"},{"family":"Ramentol-Sintas","given":"Marc"},{"family":"Rubio-Cillán","given":"Anna"},{"family":"Salut","given":"Plataforma Trans*forma","dropping-particle":"la"},{"family":"Almirall","given":"Rosa"},{"family":"Brull","given":"Mireia"},{"family":"Marin","given":"Kenzo"},{"family":"Revidiego","given":"Jordi"},{"family":"Vázquez","given":"Eva"},{"family":"Vega","given":"Soraya"},{"family":"Zapata","given":"Diana"},{"family":"Godás","given":"Teresa"},{"family":"Gómez","given":"Esther"},{"family":"Halperin","given":"Irene"},{"family":"Mora","given":"Mireia"},{"family":"Raigosa","given":"Mauricio"},{"family":"Vidal","given":"Àngela"}],"accessed":{"date-parts":[["2024",1,24]]},"issued":{"date-parts":[["2017",11]]}}}],"schema":"https://github.com/citation-style-language/schema/raw/master/csl-citation.json"} </w:instrText>
      </w:r>
      <w:r w:rsidR="00D63C3E" w:rsidRPr="00B376ED">
        <w:rPr>
          <w:rFonts w:ascii="Arial" w:hAnsi="Arial" w:cs="Arial"/>
          <w:sz w:val="24"/>
          <w:szCs w:val="24"/>
          <w:lang w:val="ca-ES"/>
        </w:rPr>
        <w:fldChar w:fldCharType="separate"/>
      </w:r>
      <w:r w:rsidR="00B22655" w:rsidRPr="00B376ED">
        <w:rPr>
          <w:rFonts w:ascii="Arial" w:hAnsi="Arial" w:cs="Arial"/>
          <w:sz w:val="24"/>
          <w:szCs w:val="24"/>
          <w:vertAlign w:val="superscript"/>
        </w:rPr>
        <w:t>11</w:t>
      </w:r>
      <w:r w:rsidR="00D63C3E" w:rsidRPr="00B376ED">
        <w:rPr>
          <w:rFonts w:ascii="Arial" w:hAnsi="Arial" w:cs="Arial"/>
          <w:sz w:val="24"/>
          <w:szCs w:val="24"/>
          <w:lang w:val="ca-ES"/>
        </w:rPr>
        <w:fldChar w:fldCharType="end"/>
      </w:r>
      <w:r w:rsidR="005E03FD" w:rsidRPr="00B376ED">
        <w:rPr>
          <w:rFonts w:ascii="Arial" w:hAnsi="Arial" w:cs="Arial"/>
          <w:sz w:val="24"/>
          <w:szCs w:val="24"/>
          <w:lang w:val="ca-ES"/>
        </w:rPr>
        <w:t xml:space="preserve">. </w:t>
      </w:r>
    </w:p>
    <w:p w14:paraId="7CCE5D2B" w14:textId="5537A559" w:rsidR="007B1B57" w:rsidRDefault="00F16447" w:rsidP="00B376ED">
      <w:pPr>
        <w:spacing w:line="240" w:lineRule="auto"/>
        <w:jc w:val="both"/>
        <w:rPr>
          <w:rFonts w:ascii="Arial" w:hAnsi="Arial" w:cs="Arial"/>
          <w:sz w:val="24"/>
          <w:szCs w:val="24"/>
          <w:lang w:val="ca-ES"/>
        </w:rPr>
      </w:pPr>
      <w:r w:rsidRPr="00B376ED">
        <w:rPr>
          <w:rFonts w:ascii="Arial" w:hAnsi="Arial" w:cs="Arial"/>
          <w:sz w:val="24"/>
          <w:szCs w:val="24"/>
          <w:lang w:val="ca-ES"/>
        </w:rPr>
        <w:t>És especialment preocupant la manca de dades sobre la feina del servei Trànsit</w:t>
      </w:r>
      <w:r w:rsidR="00216DFF" w:rsidRPr="00B376ED">
        <w:rPr>
          <w:rFonts w:ascii="Arial" w:hAnsi="Arial" w:cs="Arial"/>
          <w:sz w:val="24"/>
          <w:szCs w:val="24"/>
          <w:lang w:val="ca-ES"/>
        </w:rPr>
        <w:t xml:space="preserve"> i </w:t>
      </w:r>
      <w:r w:rsidR="00D608CA" w:rsidRPr="00B376ED">
        <w:rPr>
          <w:rFonts w:ascii="Arial" w:hAnsi="Arial" w:cs="Arial"/>
          <w:sz w:val="24"/>
          <w:szCs w:val="24"/>
          <w:lang w:val="ca-ES"/>
        </w:rPr>
        <w:t>altres serveis d’atenció primària q</w:t>
      </w:r>
      <w:r w:rsidR="00A15D51">
        <w:rPr>
          <w:rFonts w:ascii="Arial" w:hAnsi="Arial" w:cs="Arial"/>
          <w:sz w:val="24"/>
          <w:szCs w:val="24"/>
          <w:lang w:val="ca-ES"/>
        </w:rPr>
        <w:t>ue ofereixen tractaments hormonals a persones amb incongruència o disfòria de gènere</w:t>
      </w:r>
      <w:r w:rsidRPr="00B376ED">
        <w:rPr>
          <w:rFonts w:ascii="Arial" w:hAnsi="Arial" w:cs="Arial"/>
          <w:sz w:val="24"/>
          <w:szCs w:val="24"/>
          <w:lang w:val="ca-ES"/>
        </w:rPr>
        <w:t>.</w:t>
      </w:r>
      <w:r w:rsidR="00BF74F1" w:rsidRPr="00B376ED">
        <w:rPr>
          <w:rFonts w:ascii="Arial" w:hAnsi="Arial" w:cs="Arial"/>
          <w:sz w:val="24"/>
          <w:szCs w:val="24"/>
          <w:lang w:val="ca-ES"/>
        </w:rPr>
        <w:t xml:space="preserve"> El nombre de persones ateses per Trànsit </w:t>
      </w:r>
      <w:r w:rsidR="00304D52" w:rsidRPr="00B376ED">
        <w:rPr>
          <w:rFonts w:ascii="Arial" w:hAnsi="Arial" w:cs="Arial"/>
          <w:sz w:val="24"/>
          <w:szCs w:val="24"/>
          <w:lang w:val="ca-ES"/>
        </w:rPr>
        <w:t>ha augmentat de forma dramàtica</w:t>
      </w:r>
      <w:r w:rsidR="00BF74F1" w:rsidRPr="00B376ED">
        <w:rPr>
          <w:rFonts w:ascii="Arial" w:hAnsi="Arial" w:cs="Arial"/>
          <w:sz w:val="24"/>
          <w:szCs w:val="24"/>
          <w:lang w:val="ca-ES"/>
        </w:rPr>
        <w:t xml:space="preserve">, </w:t>
      </w:r>
      <w:r w:rsidR="00773477" w:rsidRPr="00B376ED">
        <w:rPr>
          <w:rFonts w:ascii="Arial" w:hAnsi="Arial" w:cs="Arial"/>
          <w:sz w:val="24"/>
          <w:szCs w:val="24"/>
          <w:lang w:val="ca-ES"/>
        </w:rPr>
        <w:t xml:space="preserve">especialment </w:t>
      </w:r>
      <w:r w:rsidR="00A23D7D" w:rsidRPr="00B376ED">
        <w:rPr>
          <w:rFonts w:ascii="Arial" w:hAnsi="Arial" w:cs="Arial"/>
          <w:sz w:val="24"/>
          <w:szCs w:val="24"/>
          <w:lang w:val="ca-ES"/>
        </w:rPr>
        <w:t>en</w:t>
      </w:r>
      <w:r w:rsidR="00773477" w:rsidRPr="00B376ED">
        <w:rPr>
          <w:rFonts w:ascii="Arial" w:hAnsi="Arial" w:cs="Arial"/>
          <w:sz w:val="24"/>
          <w:szCs w:val="24"/>
          <w:lang w:val="ca-ES"/>
        </w:rPr>
        <w:t xml:space="preserve"> menors d’edat</w:t>
      </w:r>
      <w:r w:rsidR="003035F6" w:rsidRPr="00B376ED">
        <w:rPr>
          <w:rFonts w:ascii="Arial" w:hAnsi="Arial" w:cs="Arial"/>
          <w:sz w:val="24"/>
          <w:szCs w:val="24"/>
          <w:lang w:val="ca-ES"/>
        </w:rPr>
        <w:fldChar w:fldCharType="begin"/>
      </w:r>
      <w:r w:rsidR="00B22655" w:rsidRPr="00B376ED">
        <w:rPr>
          <w:rFonts w:ascii="Arial" w:hAnsi="Arial" w:cs="Arial"/>
          <w:sz w:val="24"/>
          <w:szCs w:val="24"/>
          <w:lang w:val="ca-ES"/>
        </w:rPr>
        <w:instrText xml:space="preserve"> ADDIN ZOTERO_ITEM CSL_CITATION {"citationID":"9N18bkMH","properties":{"formattedCitation":"\\super 12,13\\nosupersub{}","plainCitation":"12,13","noteIndex":0},"citationItems":[{"id":852,"uris":["http://zotero.org/users/9099299/items/ZSSVAR4D"],"itemData":{"id":852,"type":"webpage","abstract":"Salut planteja canvis en el model d'atenció als adolescents per acompanyar millor les famílies i demana \"prudència\" a l'hora de prescriure tractaments","container-title":"Ara.cat","language":"ca","note":"section: Societat","title":"Per què hi ha més menors trans?","URL":"https://www.ara.cat/societat/hi-mes-menors-trans_130_4666078.html","author":[{"family":"Carrera","given":"Marta Rodríguez"}],"accessed":{"date-parts":[["2024",1,24]]},"issued":{"date-parts":[["2023",4,1]]}}},{"id":853,"uris":["http://zotero.org/users/9099299/items/AI5K39KJ"],"itemData":{"id":853,"type":"post-weblog","abstract":"Podeu descarregar l’Informe complert així com el resum a continuació. D’homes adults a nenes adolescents: canvis, tendències i interrogants sobre la població atesa pel Servei Trànsit a Catalunya 2012-2021 Resultats principals Presentació online El passat 1 de desembre de 2022, des de Feministes de Catalunya vam convocar una roda de premsa online oberta per presentar […]","container-title":"Feministes de Catalunya","language":"ca","title":"Informe Trànsit: D'homes adults a nenes adolescents","title-short":"Informe Trànsit","URL":"https://feministes.cat/publicacions/informe-transit-catalunya-2022","accessed":{"date-parts":[["2024",1,24]]}}}],"schema":"https://github.com/citation-style-language/schema/raw/master/csl-citation.json"} </w:instrText>
      </w:r>
      <w:r w:rsidR="003035F6" w:rsidRPr="00B376ED">
        <w:rPr>
          <w:rFonts w:ascii="Arial" w:hAnsi="Arial" w:cs="Arial"/>
          <w:sz w:val="24"/>
          <w:szCs w:val="24"/>
          <w:lang w:val="ca-ES"/>
        </w:rPr>
        <w:fldChar w:fldCharType="separate"/>
      </w:r>
      <w:r w:rsidR="00B22655" w:rsidRPr="00B376ED">
        <w:rPr>
          <w:rFonts w:ascii="Arial" w:hAnsi="Arial" w:cs="Arial"/>
          <w:sz w:val="24"/>
          <w:szCs w:val="24"/>
          <w:vertAlign w:val="superscript"/>
        </w:rPr>
        <w:t>12,13</w:t>
      </w:r>
      <w:r w:rsidR="003035F6" w:rsidRPr="00B376ED">
        <w:rPr>
          <w:rFonts w:ascii="Arial" w:hAnsi="Arial" w:cs="Arial"/>
          <w:sz w:val="24"/>
          <w:szCs w:val="24"/>
          <w:lang w:val="ca-ES"/>
        </w:rPr>
        <w:fldChar w:fldCharType="end"/>
      </w:r>
      <w:r w:rsidR="00E578FA" w:rsidRPr="00B376ED">
        <w:rPr>
          <w:rFonts w:ascii="Arial" w:hAnsi="Arial" w:cs="Arial"/>
          <w:sz w:val="24"/>
          <w:szCs w:val="24"/>
          <w:lang w:val="ca-ES"/>
        </w:rPr>
        <w:t>,</w:t>
      </w:r>
      <w:r w:rsidR="00A76B25" w:rsidRPr="00B376ED">
        <w:rPr>
          <w:rFonts w:ascii="Arial" w:hAnsi="Arial" w:cs="Arial"/>
          <w:sz w:val="24"/>
          <w:szCs w:val="24"/>
          <w:lang w:val="ca-ES"/>
        </w:rPr>
        <w:t xml:space="preserve"> i és d’esperar que augmenti encara més si s’aprova </w:t>
      </w:r>
      <w:r w:rsidR="007B1B57" w:rsidRPr="00B376ED">
        <w:rPr>
          <w:rFonts w:ascii="Arial" w:hAnsi="Arial" w:cs="Arial"/>
          <w:sz w:val="24"/>
          <w:szCs w:val="24"/>
          <w:lang w:val="ca-ES"/>
        </w:rPr>
        <w:t>l’avantprojecte de</w:t>
      </w:r>
      <w:r w:rsidR="00A76B25" w:rsidRPr="00B376ED">
        <w:rPr>
          <w:rFonts w:ascii="Arial" w:hAnsi="Arial" w:cs="Arial"/>
          <w:sz w:val="24"/>
          <w:szCs w:val="24"/>
          <w:lang w:val="ca-ES"/>
        </w:rPr>
        <w:t xml:space="preserve"> llei integral de reconeixement del dret a la identitat i expressió de gènere. Tot i això,</w:t>
      </w:r>
      <w:r w:rsidR="00E578FA" w:rsidRPr="00B376ED">
        <w:rPr>
          <w:rFonts w:ascii="Arial" w:hAnsi="Arial" w:cs="Arial"/>
          <w:sz w:val="24"/>
          <w:szCs w:val="24"/>
          <w:lang w:val="ca-ES"/>
        </w:rPr>
        <w:t xml:space="preserve"> encara no s’ha publicat cap estudi que avaluï els efectes d</w:t>
      </w:r>
      <w:r w:rsidR="00A15D51">
        <w:rPr>
          <w:rFonts w:ascii="Arial" w:hAnsi="Arial" w:cs="Arial"/>
          <w:sz w:val="24"/>
          <w:szCs w:val="24"/>
          <w:lang w:val="ca-ES"/>
        </w:rPr>
        <w:t>el model d’atenció vigent</w:t>
      </w:r>
      <w:r w:rsidR="00E26660" w:rsidRPr="00B376ED">
        <w:rPr>
          <w:rFonts w:ascii="Arial" w:hAnsi="Arial" w:cs="Arial"/>
          <w:sz w:val="24"/>
          <w:szCs w:val="24"/>
          <w:lang w:val="ca-ES"/>
        </w:rPr>
        <w:t xml:space="preserve"> </w:t>
      </w:r>
      <w:r w:rsidR="008F693A" w:rsidRPr="00B376ED">
        <w:rPr>
          <w:rFonts w:ascii="Arial" w:hAnsi="Arial" w:cs="Arial"/>
          <w:sz w:val="24"/>
          <w:szCs w:val="24"/>
          <w:lang w:val="ca-ES"/>
        </w:rPr>
        <w:t>a Catalunya</w:t>
      </w:r>
      <w:r w:rsidR="00E578FA" w:rsidRPr="00B376ED">
        <w:rPr>
          <w:rFonts w:ascii="Arial" w:hAnsi="Arial" w:cs="Arial"/>
          <w:sz w:val="24"/>
          <w:szCs w:val="24"/>
          <w:lang w:val="ca-ES"/>
        </w:rPr>
        <w:t>.</w:t>
      </w:r>
      <w:r w:rsidR="006E5866">
        <w:rPr>
          <w:rFonts w:ascii="Arial" w:hAnsi="Arial" w:cs="Arial"/>
          <w:sz w:val="24"/>
          <w:szCs w:val="24"/>
          <w:lang w:val="ca-ES"/>
        </w:rPr>
        <w:t xml:space="preserve"> </w:t>
      </w:r>
      <w:r w:rsidR="0005056C">
        <w:rPr>
          <w:rFonts w:ascii="Arial" w:hAnsi="Arial" w:cs="Arial"/>
          <w:sz w:val="24"/>
          <w:szCs w:val="24"/>
          <w:lang w:val="ca-ES"/>
        </w:rPr>
        <w:t>Atenent als motius i les evidències esmentades</w:t>
      </w:r>
      <w:r w:rsidR="002622CE" w:rsidRPr="00B376ED">
        <w:rPr>
          <w:rFonts w:ascii="Arial" w:hAnsi="Arial" w:cs="Arial"/>
          <w:sz w:val="24"/>
          <w:szCs w:val="24"/>
          <w:lang w:val="ca-ES"/>
        </w:rPr>
        <w:t>,</w:t>
      </w:r>
      <w:r w:rsidR="00F15BB0" w:rsidRPr="00B376ED">
        <w:rPr>
          <w:rFonts w:ascii="Arial" w:hAnsi="Arial" w:cs="Arial"/>
          <w:sz w:val="24"/>
          <w:szCs w:val="24"/>
          <w:lang w:val="ca-ES"/>
        </w:rPr>
        <w:t xml:space="preserve"> demano</w:t>
      </w:r>
      <w:r w:rsidR="00824115" w:rsidRPr="00B376ED">
        <w:rPr>
          <w:rFonts w:ascii="Arial" w:hAnsi="Arial" w:cs="Arial"/>
          <w:sz w:val="24"/>
          <w:szCs w:val="24"/>
          <w:lang w:val="ca-ES"/>
        </w:rPr>
        <w:t xml:space="preserve"> q</w:t>
      </w:r>
      <w:r w:rsidR="00F15BB0" w:rsidRPr="00B376ED">
        <w:rPr>
          <w:rFonts w:ascii="Arial" w:hAnsi="Arial" w:cs="Arial"/>
          <w:sz w:val="24"/>
          <w:szCs w:val="24"/>
          <w:lang w:val="ca-ES"/>
        </w:rPr>
        <w:t xml:space="preserve">ue Essencial </w:t>
      </w:r>
      <w:r w:rsidR="002A5F96" w:rsidRPr="00B376ED">
        <w:rPr>
          <w:rFonts w:ascii="Arial" w:hAnsi="Arial" w:cs="Arial"/>
          <w:sz w:val="24"/>
          <w:szCs w:val="24"/>
          <w:lang w:val="ca-ES"/>
        </w:rPr>
        <w:t>dugui a terme</w:t>
      </w:r>
      <w:r w:rsidR="00DC7DD2" w:rsidRPr="00B376ED">
        <w:rPr>
          <w:rFonts w:ascii="Arial" w:hAnsi="Arial" w:cs="Arial"/>
          <w:sz w:val="24"/>
          <w:szCs w:val="24"/>
          <w:lang w:val="ca-ES"/>
        </w:rPr>
        <w:t xml:space="preserve"> una avaluació </w:t>
      </w:r>
      <w:r w:rsidR="0005056C">
        <w:rPr>
          <w:rFonts w:ascii="Arial" w:hAnsi="Arial" w:cs="Arial"/>
          <w:sz w:val="24"/>
          <w:szCs w:val="24"/>
          <w:lang w:val="ca-ES"/>
        </w:rPr>
        <w:t>urgent</w:t>
      </w:r>
      <w:r w:rsidR="00DC7DD2" w:rsidRPr="00B376ED">
        <w:rPr>
          <w:rFonts w:ascii="Arial" w:hAnsi="Arial" w:cs="Arial"/>
          <w:sz w:val="24"/>
          <w:szCs w:val="24"/>
          <w:lang w:val="ca-ES"/>
        </w:rPr>
        <w:t xml:space="preserve"> de</w:t>
      </w:r>
      <w:r w:rsidR="00FE5178" w:rsidRPr="00B376ED">
        <w:rPr>
          <w:rFonts w:ascii="Arial" w:hAnsi="Arial" w:cs="Arial"/>
          <w:sz w:val="24"/>
          <w:szCs w:val="24"/>
          <w:lang w:val="ca-ES"/>
        </w:rPr>
        <w:t xml:space="preserve"> l’evidència </w:t>
      </w:r>
      <w:r w:rsidR="00C416BD">
        <w:rPr>
          <w:rFonts w:ascii="Arial" w:hAnsi="Arial" w:cs="Arial"/>
          <w:sz w:val="24"/>
          <w:szCs w:val="24"/>
          <w:lang w:val="ca-ES"/>
        </w:rPr>
        <w:t xml:space="preserve">científica </w:t>
      </w:r>
      <w:r w:rsidR="00FE5178" w:rsidRPr="00B376ED">
        <w:rPr>
          <w:rFonts w:ascii="Arial" w:hAnsi="Arial" w:cs="Arial"/>
          <w:sz w:val="24"/>
          <w:szCs w:val="24"/>
          <w:lang w:val="ca-ES"/>
        </w:rPr>
        <w:t xml:space="preserve">sobre les pràctiques incloses </w:t>
      </w:r>
      <w:r w:rsidR="00E815D3" w:rsidRPr="00B376ED">
        <w:rPr>
          <w:rFonts w:ascii="Arial" w:hAnsi="Arial" w:cs="Arial"/>
          <w:sz w:val="24"/>
          <w:szCs w:val="24"/>
          <w:lang w:val="ca-ES"/>
        </w:rPr>
        <w:t>en el</w:t>
      </w:r>
      <w:r w:rsidR="00FE5178" w:rsidRPr="00B376ED">
        <w:rPr>
          <w:rFonts w:ascii="Arial" w:hAnsi="Arial" w:cs="Arial"/>
          <w:sz w:val="24"/>
          <w:szCs w:val="24"/>
          <w:lang w:val="ca-ES"/>
        </w:rPr>
        <w:t xml:space="preserve"> “Model d’atenció a la salut de les persones trans*”</w:t>
      </w:r>
      <w:r w:rsidR="00DC7DD2" w:rsidRPr="00B376ED">
        <w:rPr>
          <w:rFonts w:ascii="Arial" w:hAnsi="Arial" w:cs="Arial"/>
          <w:sz w:val="24"/>
          <w:szCs w:val="24"/>
          <w:lang w:val="ca-ES"/>
        </w:rPr>
        <w:t xml:space="preserve">, </w:t>
      </w:r>
      <w:r w:rsidR="00824115" w:rsidRPr="00B376ED">
        <w:rPr>
          <w:rFonts w:ascii="Arial" w:hAnsi="Arial" w:cs="Arial"/>
          <w:sz w:val="24"/>
          <w:szCs w:val="24"/>
          <w:lang w:val="ca-ES"/>
        </w:rPr>
        <w:t xml:space="preserve">i que </w:t>
      </w:r>
      <w:r w:rsidR="00673C1A" w:rsidRPr="00B376ED">
        <w:rPr>
          <w:rFonts w:ascii="Arial" w:hAnsi="Arial" w:cs="Arial"/>
          <w:sz w:val="24"/>
          <w:szCs w:val="24"/>
          <w:lang w:val="ca-ES"/>
        </w:rPr>
        <w:t>aquest sigui actualitzat seguint els resultats de l’avaluació.</w:t>
      </w:r>
    </w:p>
    <w:p w14:paraId="3C376D96" w14:textId="0C11AF01" w:rsidR="00890A8B" w:rsidRDefault="00890A8B" w:rsidP="00B376ED">
      <w:pPr>
        <w:spacing w:line="240" w:lineRule="auto"/>
        <w:jc w:val="both"/>
        <w:rPr>
          <w:rFonts w:ascii="Arial" w:hAnsi="Arial" w:cs="Arial"/>
          <w:sz w:val="24"/>
          <w:szCs w:val="24"/>
          <w:lang w:val="ca-ES"/>
        </w:rPr>
      </w:pPr>
      <w:r>
        <w:rPr>
          <w:rFonts w:ascii="Arial" w:hAnsi="Arial" w:cs="Arial"/>
          <w:sz w:val="24"/>
          <w:szCs w:val="24"/>
          <w:lang w:val="ca-ES"/>
        </w:rPr>
        <w:t>Atentament,</w:t>
      </w:r>
    </w:p>
    <w:p w14:paraId="4B413AAD" w14:textId="31170ED5" w:rsidR="00890A8B" w:rsidRDefault="00890A8B" w:rsidP="00B376ED">
      <w:pPr>
        <w:spacing w:line="240" w:lineRule="auto"/>
        <w:jc w:val="both"/>
        <w:rPr>
          <w:rFonts w:ascii="Arial" w:hAnsi="Arial" w:cs="Arial"/>
          <w:sz w:val="24"/>
          <w:szCs w:val="24"/>
          <w:lang w:val="ca-ES"/>
        </w:rPr>
      </w:pPr>
      <w:r>
        <w:rPr>
          <w:rFonts w:ascii="Arial" w:hAnsi="Arial" w:cs="Arial"/>
          <w:sz w:val="24"/>
          <w:szCs w:val="24"/>
          <w:lang w:val="ca-ES"/>
        </w:rPr>
        <w:t>Martín Endara Coll</w:t>
      </w:r>
    </w:p>
    <w:p w14:paraId="529E302C" w14:textId="77777777" w:rsidR="003A0381" w:rsidRDefault="003A0381" w:rsidP="00790724">
      <w:pPr>
        <w:spacing w:line="360" w:lineRule="auto"/>
        <w:jc w:val="both"/>
        <w:rPr>
          <w:rFonts w:ascii="Arial" w:hAnsi="Arial" w:cs="Arial"/>
          <w:sz w:val="24"/>
          <w:szCs w:val="24"/>
          <w:lang w:val="ca-ES"/>
        </w:rPr>
      </w:pPr>
    </w:p>
    <w:p w14:paraId="0914DB26" w14:textId="1D89712D" w:rsidR="00047E15" w:rsidRPr="0051725A" w:rsidRDefault="00824BE4" w:rsidP="00790724">
      <w:pPr>
        <w:spacing w:line="360" w:lineRule="auto"/>
        <w:jc w:val="both"/>
        <w:rPr>
          <w:rFonts w:ascii="Arial" w:hAnsi="Arial" w:cs="Arial"/>
          <w:sz w:val="24"/>
          <w:szCs w:val="24"/>
          <w:lang w:val="ca-ES"/>
        </w:rPr>
      </w:pPr>
      <w:r>
        <w:rPr>
          <w:rFonts w:ascii="Arial" w:hAnsi="Arial" w:cs="Arial"/>
          <w:sz w:val="24"/>
          <w:szCs w:val="24"/>
          <w:lang w:val="ca-ES"/>
        </w:rPr>
        <w:lastRenderedPageBreak/>
        <w:t>Referències</w:t>
      </w:r>
      <w:r w:rsidR="00047E15" w:rsidRPr="0051725A">
        <w:rPr>
          <w:rFonts w:ascii="Arial" w:hAnsi="Arial" w:cs="Arial"/>
          <w:sz w:val="24"/>
          <w:szCs w:val="24"/>
          <w:lang w:val="ca-ES"/>
        </w:rPr>
        <w:t>:</w:t>
      </w:r>
    </w:p>
    <w:p w14:paraId="22DA4074" w14:textId="77777777" w:rsidR="00B22655" w:rsidRPr="0051725A" w:rsidRDefault="00F16447" w:rsidP="008E4055">
      <w:pPr>
        <w:pStyle w:val="Bibliography"/>
        <w:spacing w:line="360" w:lineRule="auto"/>
        <w:rPr>
          <w:rFonts w:ascii="Arial" w:hAnsi="Arial" w:cs="Arial"/>
          <w:sz w:val="24"/>
          <w:szCs w:val="24"/>
          <w:lang w:val="en-US"/>
        </w:rPr>
      </w:pPr>
      <w:r w:rsidRPr="0051725A">
        <w:rPr>
          <w:rFonts w:ascii="Arial" w:hAnsi="Arial" w:cs="Arial"/>
          <w:sz w:val="24"/>
          <w:szCs w:val="24"/>
          <w:lang w:val="ca-ES"/>
        </w:rPr>
        <w:fldChar w:fldCharType="begin"/>
      </w:r>
      <w:r w:rsidR="00B7550D" w:rsidRPr="0051725A">
        <w:rPr>
          <w:rFonts w:ascii="Arial" w:hAnsi="Arial" w:cs="Arial"/>
          <w:sz w:val="24"/>
          <w:szCs w:val="24"/>
          <w:lang w:val="ca-ES"/>
        </w:rPr>
        <w:instrText xml:space="preserve"> ADDIN ZOTERO_BIBL {"uncited":[],"omitted":[],"custom":[]} CSL_BIBLIOGRAPHY </w:instrText>
      </w:r>
      <w:r w:rsidRPr="0051725A">
        <w:rPr>
          <w:rFonts w:ascii="Arial" w:hAnsi="Arial" w:cs="Arial"/>
          <w:sz w:val="24"/>
          <w:szCs w:val="24"/>
          <w:lang w:val="ca-ES"/>
        </w:rPr>
        <w:fldChar w:fldCharType="separate"/>
      </w:r>
      <w:r w:rsidR="00B22655" w:rsidRPr="0051725A">
        <w:rPr>
          <w:rFonts w:ascii="Arial" w:hAnsi="Arial" w:cs="Arial"/>
          <w:sz w:val="24"/>
          <w:szCs w:val="24"/>
          <w:lang w:val="en-US"/>
        </w:rPr>
        <w:t>1.</w:t>
      </w:r>
      <w:r w:rsidR="00B22655" w:rsidRPr="0051725A">
        <w:rPr>
          <w:rFonts w:ascii="Arial" w:hAnsi="Arial" w:cs="Arial"/>
          <w:sz w:val="24"/>
          <w:szCs w:val="24"/>
          <w:lang w:val="en-US"/>
        </w:rPr>
        <w:tab/>
        <w:t>Socialstyrelsen. Care of children and adolescents with gender dysphoria – Summary of national guidelines – December 2022.</w:t>
      </w:r>
    </w:p>
    <w:p w14:paraId="29E75E9C" w14:textId="77777777"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2.</w:t>
      </w:r>
      <w:r w:rsidRPr="0051725A">
        <w:rPr>
          <w:rFonts w:ascii="Arial" w:hAnsi="Arial" w:cs="Arial"/>
          <w:sz w:val="24"/>
          <w:szCs w:val="24"/>
          <w:lang w:val="en-US"/>
        </w:rPr>
        <w:tab/>
        <w:t>Pasternack, I., Söderström, I., Saijonkari, M. &amp; Mäkelä, M. Lääketieteelliset menetelmät sukupuolivariaatioihin liittyvän dysforian hoidossa. Systemaattinen katsaus.</w:t>
      </w:r>
    </w:p>
    <w:p w14:paraId="2C255C0E" w14:textId="77777777"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3.</w:t>
      </w:r>
      <w:r w:rsidRPr="0051725A">
        <w:rPr>
          <w:rFonts w:ascii="Arial" w:hAnsi="Arial" w:cs="Arial"/>
          <w:sz w:val="24"/>
          <w:szCs w:val="24"/>
          <w:lang w:val="en-US"/>
        </w:rPr>
        <w:tab/>
        <w:t xml:space="preserve">UKOM. Sammendrag. </w:t>
      </w:r>
      <w:r w:rsidRPr="0051725A">
        <w:rPr>
          <w:rFonts w:ascii="Arial" w:hAnsi="Arial" w:cs="Arial"/>
          <w:i/>
          <w:iCs/>
          <w:sz w:val="24"/>
          <w:szCs w:val="24"/>
          <w:lang w:val="en-US"/>
        </w:rPr>
        <w:t>Ukom</w:t>
      </w:r>
      <w:r w:rsidRPr="0051725A">
        <w:rPr>
          <w:rFonts w:ascii="Arial" w:hAnsi="Arial" w:cs="Arial"/>
          <w:sz w:val="24"/>
          <w:szCs w:val="24"/>
          <w:lang w:val="en-US"/>
        </w:rPr>
        <w:t xml:space="preserve"> https://ukom.no/rapporter/pasientsikkerhet-for-barn-og-unge-med-kjonnsinkongruens/sammendrag.</w:t>
      </w:r>
    </w:p>
    <w:p w14:paraId="30494AF5" w14:textId="77777777"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4.</w:t>
      </w:r>
      <w:r w:rsidRPr="0051725A">
        <w:rPr>
          <w:rFonts w:ascii="Arial" w:hAnsi="Arial" w:cs="Arial"/>
          <w:sz w:val="24"/>
          <w:szCs w:val="24"/>
          <w:lang w:val="en-US"/>
        </w:rPr>
        <w:tab/>
        <w:t>The Cass Review - Independent review of gender identity services for children and young people: Interim Report.</w:t>
      </w:r>
    </w:p>
    <w:p w14:paraId="06CD6E3D" w14:textId="77777777"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5.</w:t>
      </w:r>
      <w:r w:rsidRPr="0051725A">
        <w:rPr>
          <w:rFonts w:ascii="Arial" w:hAnsi="Arial" w:cs="Arial"/>
          <w:sz w:val="24"/>
          <w:szCs w:val="24"/>
          <w:lang w:val="en-US"/>
        </w:rPr>
        <w:tab/>
        <w:t>Evidence review: Gender-affirming hormones for children and adolescents with gender dysphoria. (2020).</w:t>
      </w:r>
    </w:p>
    <w:p w14:paraId="120AD219" w14:textId="77777777"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6.</w:t>
      </w:r>
      <w:r w:rsidRPr="0051725A">
        <w:rPr>
          <w:rFonts w:ascii="Arial" w:hAnsi="Arial" w:cs="Arial"/>
          <w:sz w:val="24"/>
          <w:szCs w:val="24"/>
          <w:lang w:val="en-US"/>
        </w:rPr>
        <w:tab/>
        <w:t>National Institute for Health and Care Excellence. Evidence review: Gonadotrophin releasing hormone analogues for children and adolescents with gender dysphoria. (2020).</w:t>
      </w:r>
    </w:p>
    <w:p w14:paraId="442AC031" w14:textId="77777777"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7.</w:t>
      </w:r>
      <w:r w:rsidRPr="0051725A">
        <w:rPr>
          <w:rFonts w:ascii="Arial" w:hAnsi="Arial" w:cs="Arial"/>
          <w:sz w:val="24"/>
          <w:szCs w:val="24"/>
          <w:lang w:val="en-US"/>
        </w:rPr>
        <w:tab/>
        <w:t xml:space="preserve">Baker, K. E. </w:t>
      </w:r>
      <w:r w:rsidRPr="0051725A">
        <w:rPr>
          <w:rFonts w:ascii="Arial" w:hAnsi="Arial" w:cs="Arial"/>
          <w:i/>
          <w:iCs/>
          <w:sz w:val="24"/>
          <w:szCs w:val="24"/>
          <w:lang w:val="en-US"/>
        </w:rPr>
        <w:t>et al.</w:t>
      </w:r>
      <w:r w:rsidRPr="0051725A">
        <w:rPr>
          <w:rFonts w:ascii="Arial" w:hAnsi="Arial" w:cs="Arial"/>
          <w:sz w:val="24"/>
          <w:szCs w:val="24"/>
          <w:lang w:val="en-US"/>
        </w:rPr>
        <w:t xml:space="preserve"> Hormone Therapy, Mental Health, and Quality of Life Among Transgender People: A Systematic Review. </w:t>
      </w:r>
      <w:r w:rsidRPr="0051725A">
        <w:rPr>
          <w:rFonts w:ascii="Arial" w:hAnsi="Arial" w:cs="Arial"/>
          <w:i/>
          <w:iCs/>
          <w:sz w:val="24"/>
          <w:szCs w:val="24"/>
          <w:lang w:val="en-US"/>
        </w:rPr>
        <w:t>J. Endocr. Soc.</w:t>
      </w:r>
      <w:r w:rsidRPr="0051725A">
        <w:rPr>
          <w:rFonts w:ascii="Arial" w:hAnsi="Arial" w:cs="Arial"/>
          <w:sz w:val="24"/>
          <w:szCs w:val="24"/>
          <w:lang w:val="en-US"/>
        </w:rPr>
        <w:t xml:space="preserve"> </w:t>
      </w:r>
      <w:r w:rsidRPr="0051725A">
        <w:rPr>
          <w:rFonts w:ascii="Arial" w:hAnsi="Arial" w:cs="Arial"/>
          <w:b/>
          <w:bCs/>
          <w:sz w:val="24"/>
          <w:szCs w:val="24"/>
          <w:lang w:val="en-US"/>
        </w:rPr>
        <w:t>5</w:t>
      </w:r>
      <w:r w:rsidRPr="0051725A">
        <w:rPr>
          <w:rFonts w:ascii="Arial" w:hAnsi="Arial" w:cs="Arial"/>
          <w:sz w:val="24"/>
          <w:szCs w:val="24"/>
          <w:lang w:val="en-US"/>
        </w:rPr>
        <w:t>, bvab011 (2021).</w:t>
      </w:r>
    </w:p>
    <w:p w14:paraId="371BF55A" w14:textId="77777777" w:rsidR="00B22655" w:rsidRPr="0051725A" w:rsidRDefault="00B22655" w:rsidP="008E4055">
      <w:pPr>
        <w:pStyle w:val="Bibliography"/>
        <w:spacing w:line="360" w:lineRule="auto"/>
        <w:rPr>
          <w:rFonts w:ascii="Arial" w:hAnsi="Arial" w:cs="Arial"/>
          <w:sz w:val="24"/>
          <w:szCs w:val="24"/>
        </w:rPr>
      </w:pPr>
      <w:r w:rsidRPr="0051725A">
        <w:rPr>
          <w:rFonts w:ascii="Arial" w:hAnsi="Arial" w:cs="Arial"/>
          <w:sz w:val="24"/>
          <w:szCs w:val="24"/>
          <w:lang w:val="en-US"/>
        </w:rPr>
        <w:t>8.</w:t>
      </w:r>
      <w:r w:rsidRPr="0051725A">
        <w:rPr>
          <w:rFonts w:ascii="Arial" w:hAnsi="Arial" w:cs="Arial"/>
          <w:sz w:val="24"/>
          <w:szCs w:val="24"/>
          <w:lang w:val="en-US"/>
        </w:rPr>
        <w:tab/>
        <w:t xml:space="preserve">Wyckoff, A. S. &amp; Editor, A. AAP reaffirms gender-affirming care policy, authorizes systematic review of evidence to guide update. </w:t>
      </w:r>
      <w:r w:rsidRPr="0051725A">
        <w:rPr>
          <w:rFonts w:ascii="Arial" w:hAnsi="Arial" w:cs="Arial"/>
          <w:sz w:val="24"/>
          <w:szCs w:val="24"/>
        </w:rPr>
        <w:t>(2023).</w:t>
      </w:r>
    </w:p>
    <w:p w14:paraId="46A03BE3" w14:textId="77777777" w:rsidR="00B22655" w:rsidRPr="0051725A" w:rsidRDefault="00B22655" w:rsidP="008E4055">
      <w:pPr>
        <w:pStyle w:val="Bibliography"/>
        <w:spacing w:line="360" w:lineRule="auto"/>
        <w:rPr>
          <w:rFonts w:ascii="Arial" w:hAnsi="Arial" w:cs="Arial"/>
          <w:sz w:val="24"/>
          <w:szCs w:val="24"/>
        </w:rPr>
      </w:pPr>
      <w:r w:rsidRPr="0051725A">
        <w:rPr>
          <w:rFonts w:ascii="Arial" w:hAnsi="Arial" w:cs="Arial"/>
          <w:sz w:val="24"/>
          <w:szCs w:val="24"/>
        </w:rPr>
        <w:t>9.</w:t>
      </w:r>
      <w:r w:rsidRPr="0051725A">
        <w:rPr>
          <w:rFonts w:ascii="Arial" w:hAnsi="Arial" w:cs="Arial"/>
          <w:sz w:val="24"/>
          <w:szCs w:val="24"/>
        </w:rPr>
        <w:tab/>
        <w:t>Consell de Col·legis de Metges de Catalunya. L’atenció a la diversitat de gènere en persones menors d’edat. https://www.ccmc.cat/Upload/Documents/9/8/9893.PDF.</w:t>
      </w:r>
    </w:p>
    <w:p w14:paraId="0C26442B" w14:textId="3B3D88B0"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lang w:val="en-US"/>
        </w:rPr>
        <w:t>10.</w:t>
      </w:r>
      <w:r w:rsidR="000D42A2" w:rsidRPr="0051725A">
        <w:rPr>
          <w:rFonts w:ascii="Arial" w:hAnsi="Arial" w:cs="Arial"/>
          <w:sz w:val="24"/>
          <w:szCs w:val="24"/>
          <w:lang w:val="en-US"/>
        </w:rPr>
        <w:t xml:space="preserve"> </w:t>
      </w:r>
      <w:r w:rsidRPr="0051725A">
        <w:rPr>
          <w:rFonts w:ascii="Arial" w:hAnsi="Arial" w:cs="Arial"/>
          <w:sz w:val="24"/>
          <w:szCs w:val="24"/>
          <w:lang w:val="en-US"/>
        </w:rPr>
        <w:t>Medicine and gender transidentity in children and adolescents – Académie nationale de médecine | Une institution dans son temps. https://www.academie-medecine.fr/la-medecine-face-a-la-transidentite-de-genre-chez-les-enfants-et-les-adolescents/?lang=en.</w:t>
      </w:r>
    </w:p>
    <w:p w14:paraId="3311CAC9" w14:textId="14C56343" w:rsidR="00B22655" w:rsidRPr="0051725A" w:rsidRDefault="00B22655" w:rsidP="008E4055">
      <w:pPr>
        <w:pStyle w:val="Bibliography"/>
        <w:spacing w:line="360" w:lineRule="auto"/>
        <w:rPr>
          <w:rFonts w:ascii="Arial" w:hAnsi="Arial" w:cs="Arial"/>
          <w:sz w:val="24"/>
          <w:szCs w:val="24"/>
        </w:rPr>
      </w:pPr>
      <w:r w:rsidRPr="0051725A">
        <w:rPr>
          <w:rFonts w:ascii="Arial" w:hAnsi="Arial" w:cs="Arial"/>
          <w:sz w:val="24"/>
          <w:szCs w:val="24"/>
        </w:rPr>
        <w:t>11.</w:t>
      </w:r>
      <w:r w:rsidR="000D42A2" w:rsidRPr="0051725A">
        <w:rPr>
          <w:rFonts w:ascii="Arial" w:hAnsi="Arial" w:cs="Arial"/>
          <w:sz w:val="24"/>
          <w:szCs w:val="24"/>
        </w:rPr>
        <w:t xml:space="preserve"> </w:t>
      </w:r>
      <w:r w:rsidRPr="0051725A">
        <w:rPr>
          <w:rFonts w:ascii="Arial" w:hAnsi="Arial" w:cs="Arial"/>
          <w:sz w:val="24"/>
          <w:szCs w:val="24"/>
        </w:rPr>
        <w:t xml:space="preserve">Escuriet-Peiró, R. </w:t>
      </w:r>
      <w:r w:rsidRPr="0051725A">
        <w:rPr>
          <w:rFonts w:ascii="Arial" w:hAnsi="Arial" w:cs="Arial"/>
          <w:i/>
          <w:iCs/>
          <w:sz w:val="24"/>
          <w:szCs w:val="24"/>
        </w:rPr>
        <w:t>et al.</w:t>
      </w:r>
      <w:r w:rsidRPr="0051725A">
        <w:rPr>
          <w:rFonts w:ascii="Arial" w:hAnsi="Arial" w:cs="Arial"/>
          <w:sz w:val="24"/>
          <w:szCs w:val="24"/>
        </w:rPr>
        <w:t xml:space="preserve"> Model d’atenció a la salut de les persones trans*. </w:t>
      </w:r>
      <w:r w:rsidRPr="0051725A">
        <w:rPr>
          <w:rFonts w:ascii="Arial" w:hAnsi="Arial" w:cs="Arial"/>
          <w:i/>
          <w:iCs/>
          <w:sz w:val="24"/>
          <w:szCs w:val="24"/>
        </w:rPr>
        <w:t>Scientia</w:t>
      </w:r>
      <w:r w:rsidRPr="0051725A">
        <w:rPr>
          <w:rFonts w:ascii="Arial" w:hAnsi="Arial" w:cs="Arial"/>
          <w:sz w:val="24"/>
          <w:szCs w:val="24"/>
        </w:rPr>
        <w:t xml:space="preserve"> (2017).</w:t>
      </w:r>
    </w:p>
    <w:p w14:paraId="4C9D5E74" w14:textId="3569CC04" w:rsidR="00B22655" w:rsidRPr="0051725A" w:rsidRDefault="00B22655" w:rsidP="008E4055">
      <w:pPr>
        <w:pStyle w:val="Bibliography"/>
        <w:spacing w:line="360" w:lineRule="auto"/>
        <w:rPr>
          <w:rFonts w:ascii="Arial" w:hAnsi="Arial" w:cs="Arial"/>
          <w:sz w:val="24"/>
          <w:szCs w:val="24"/>
          <w:lang w:val="en-US"/>
        </w:rPr>
      </w:pPr>
      <w:r w:rsidRPr="0051725A">
        <w:rPr>
          <w:rFonts w:ascii="Arial" w:hAnsi="Arial" w:cs="Arial"/>
          <w:sz w:val="24"/>
          <w:szCs w:val="24"/>
        </w:rPr>
        <w:t>12.</w:t>
      </w:r>
      <w:r w:rsidR="000D42A2" w:rsidRPr="0051725A">
        <w:rPr>
          <w:rFonts w:ascii="Arial" w:hAnsi="Arial" w:cs="Arial"/>
          <w:sz w:val="24"/>
          <w:szCs w:val="24"/>
        </w:rPr>
        <w:t xml:space="preserve"> </w:t>
      </w:r>
      <w:r w:rsidRPr="0051725A">
        <w:rPr>
          <w:rFonts w:ascii="Arial" w:hAnsi="Arial" w:cs="Arial"/>
          <w:sz w:val="24"/>
          <w:szCs w:val="24"/>
        </w:rPr>
        <w:t xml:space="preserve">Carrera, M. R. Per què hi ha més menors trans? </w:t>
      </w:r>
      <w:r w:rsidRPr="0051725A">
        <w:rPr>
          <w:rFonts w:ascii="Arial" w:hAnsi="Arial" w:cs="Arial"/>
          <w:i/>
          <w:iCs/>
          <w:sz w:val="24"/>
          <w:szCs w:val="24"/>
          <w:lang w:val="en-US"/>
        </w:rPr>
        <w:t>Ara.cat</w:t>
      </w:r>
      <w:r w:rsidRPr="0051725A">
        <w:rPr>
          <w:rFonts w:ascii="Arial" w:hAnsi="Arial" w:cs="Arial"/>
          <w:sz w:val="24"/>
          <w:szCs w:val="24"/>
          <w:lang w:val="en-US"/>
        </w:rPr>
        <w:t xml:space="preserve"> https://www.ara.cat/societat/hi-mes-menors-trans_130_4666078.html (2023).</w:t>
      </w:r>
    </w:p>
    <w:p w14:paraId="17117C10" w14:textId="50776116" w:rsidR="00047E15" w:rsidRPr="00D07C19" w:rsidRDefault="00B22655" w:rsidP="0051725A">
      <w:pPr>
        <w:pStyle w:val="Bibliography"/>
        <w:spacing w:line="360" w:lineRule="auto"/>
        <w:rPr>
          <w:rFonts w:ascii="Arial" w:hAnsi="Arial" w:cs="Arial"/>
          <w:lang w:val="ca-ES"/>
        </w:rPr>
      </w:pPr>
      <w:r w:rsidRPr="0051725A">
        <w:rPr>
          <w:rFonts w:ascii="Arial" w:hAnsi="Arial" w:cs="Arial"/>
          <w:sz w:val="24"/>
          <w:szCs w:val="24"/>
        </w:rPr>
        <w:t>13.</w:t>
      </w:r>
      <w:r w:rsidR="000D42A2" w:rsidRPr="0051725A">
        <w:rPr>
          <w:rFonts w:ascii="Arial" w:hAnsi="Arial" w:cs="Arial"/>
          <w:sz w:val="24"/>
          <w:szCs w:val="24"/>
        </w:rPr>
        <w:t xml:space="preserve"> </w:t>
      </w:r>
      <w:r w:rsidRPr="0051725A">
        <w:rPr>
          <w:rFonts w:ascii="Arial" w:hAnsi="Arial" w:cs="Arial"/>
          <w:sz w:val="24"/>
          <w:szCs w:val="24"/>
        </w:rPr>
        <w:t xml:space="preserve">Informe Trànsit: D’homes adults a nenes adolescents. </w:t>
      </w:r>
      <w:r w:rsidRPr="0051725A">
        <w:rPr>
          <w:rFonts w:ascii="Arial" w:hAnsi="Arial" w:cs="Arial"/>
          <w:i/>
          <w:iCs/>
          <w:sz w:val="24"/>
          <w:szCs w:val="24"/>
        </w:rPr>
        <w:t>Feministes de Catalunya</w:t>
      </w:r>
      <w:r w:rsidRPr="0051725A">
        <w:rPr>
          <w:rFonts w:ascii="Arial" w:hAnsi="Arial" w:cs="Arial"/>
          <w:sz w:val="24"/>
          <w:szCs w:val="24"/>
        </w:rPr>
        <w:t xml:space="preserve"> https://feministes.cat/publicacions/informe-transit-catalunya-2022.</w:t>
      </w:r>
      <w:r w:rsidR="00F16447" w:rsidRPr="0051725A">
        <w:rPr>
          <w:rFonts w:ascii="Arial" w:hAnsi="Arial" w:cs="Arial"/>
          <w:sz w:val="24"/>
          <w:szCs w:val="24"/>
          <w:lang w:val="ca-ES"/>
        </w:rPr>
        <w:fldChar w:fldCharType="end"/>
      </w:r>
      <w:r w:rsidR="00F867F1">
        <w:rPr>
          <w:rFonts w:ascii="Arial" w:hAnsi="Arial" w:cs="Arial"/>
          <w:lang w:val="ca-ES"/>
        </w:rPr>
        <w:tab/>
      </w:r>
    </w:p>
    <w:sectPr w:rsidR="00047E15" w:rsidRPr="00D07C19" w:rsidSect="00874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5BB9" w14:textId="77777777" w:rsidR="008743C9" w:rsidRDefault="008743C9" w:rsidP="00EC335E">
      <w:pPr>
        <w:spacing w:after="0" w:line="240" w:lineRule="auto"/>
      </w:pPr>
      <w:r>
        <w:separator/>
      </w:r>
    </w:p>
  </w:endnote>
  <w:endnote w:type="continuationSeparator" w:id="0">
    <w:p w14:paraId="6CC66C89" w14:textId="77777777" w:rsidR="008743C9" w:rsidRDefault="008743C9" w:rsidP="00EC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759A" w14:textId="77777777" w:rsidR="008743C9" w:rsidRDefault="008743C9" w:rsidP="00EC335E">
      <w:pPr>
        <w:spacing w:after="0" w:line="240" w:lineRule="auto"/>
      </w:pPr>
      <w:r>
        <w:separator/>
      </w:r>
    </w:p>
  </w:footnote>
  <w:footnote w:type="continuationSeparator" w:id="0">
    <w:p w14:paraId="60441DA3" w14:textId="77777777" w:rsidR="008743C9" w:rsidRDefault="008743C9" w:rsidP="00EC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2140"/>
    <w:multiLevelType w:val="hybridMultilevel"/>
    <w:tmpl w:val="2D78E286"/>
    <w:lvl w:ilvl="0" w:tplc="8D406A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D5331DB"/>
    <w:multiLevelType w:val="multilevel"/>
    <w:tmpl w:val="3FCCC748"/>
    <w:lvl w:ilvl="0">
      <w:start w:val="1"/>
      <w:numFmt w:val="decimal"/>
      <w:pStyle w:val="Heading1"/>
      <w:lvlText w:val="%1"/>
      <w:lvlJc w:val="left"/>
      <w:pPr>
        <w:ind w:left="432" w:hanging="432"/>
      </w:pPr>
      <w:rPr>
        <w:i w:val="0"/>
        <w:sz w:val="24"/>
      </w:r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rPr>
        <w:color w:val="4472C4" w:themeColor="accen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9420715">
    <w:abstractNumId w:val="1"/>
  </w:num>
  <w:num w:numId="2" w16cid:durableId="1530600734">
    <w:abstractNumId w:val="1"/>
  </w:num>
  <w:num w:numId="3" w16cid:durableId="326639785">
    <w:abstractNumId w:val="1"/>
  </w:num>
  <w:num w:numId="4" w16cid:durableId="899825169">
    <w:abstractNumId w:val="1"/>
  </w:num>
  <w:num w:numId="5" w16cid:durableId="1779565227">
    <w:abstractNumId w:val="1"/>
  </w:num>
  <w:num w:numId="6" w16cid:durableId="312952186">
    <w:abstractNumId w:val="1"/>
  </w:num>
  <w:num w:numId="7" w16cid:durableId="1388648282">
    <w:abstractNumId w:val="1"/>
  </w:num>
  <w:num w:numId="8" w16cid:durableId="2078474584">
    <w:abstractNumId w:val="1"/>
  </w:num>
  <w:num w:numId="9" w16cid:durableId="1734505142">
    <w:abstractNumId w:val="1"/>
  </w:num>
  <w:num w:numId="10" w16cid:durableId="819150395">
    <w:abstractNumId w:val="1"/>
  </w:num>
  <w:num w:numId="11" w16cid:durableId="1198273127">
    <w:abstractNumId w:val="1"/>
  </w:num>
  <w:num w:numId="12" w16cid:durableId="181082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D8"/>
    <w:rsid w:val="00014429"/>
    <w:rsid w:val="00015DD6"/>
    <w:rsid w:val="000357B2"/>
    <w:rsid w:val="00047E15"/>
    <w:rsid w:val="0005056C"/>
    <w:rsid w:val="00057DD5"/>
    <w:rsid w:val="00065EDF"/>
    <w:rsid w:val="00075ABC"/>
    <w:rsid w:val="000772AC"/>
    <w:rsid w:val="00083853"/>
    <w:rsid w:val="0008554C"/>
    <w:rsid w:val="0008653A"/>
    <w:rsid w:val="000D42A2"/>
    <w:rsid w:val="000D79E0"/>
    <w:rsid w:val="00124881"/>
    <w:rsid w:val="001370A0"/>
    <w:rsid w:val="00141DB2"/>
    <w:rsid w:val="00151CF3"/>
    <w:rsid w:val="001734C7"/>
    <w:rsid w:val="001B6DE3"/>
    <w:rsid w:val="001D1BF3"/>
    <w:rsid w:val="001D2DC2"/>
    <w:rsid w:val="001E3337"/>
    <w:rsid w:val="00202537"/>
    <w:rsid w:val="00216DFF"/>
    <w:rsid w:val="00226A9C"/>
    <w:rsid w:val="00253554"/>
    <w:rsid w:val="0025638B"/>
    <w:rsid w:val="002622CE"/>
    <w:rsid w:val="00262E27"/>
    <w:rsid w:val="00285711"/>
    <w:rsid w:val="002A5F96"/>
    <w:rsid w:val="002B2D85"/>
    <w:rsid w:val="002C7890"/>
    <w:rsid w:val="002D71B3"/>
    <w:rsid w:val="002E7C23"/>
    <w:rsid w:val="003035F6"/>
    <w:rsid w:val="00304D52"/>
    <w:rsid w:val="00317C6F"/>
    <w:rsid w:val="00321966"/>
    <w:rsid w:val="003247EA"/>
    <w:rsid w:val="00332E95"/>
    <w:rsid w:val="003475EB"/>
    <w:rsid w:val="00387EBD"/>
    <w:rsid w:val="00394D60"/>
    <w:rsid w:val="003A0381"/>
    <w:rsid w:val="003B6441"/>
    <w:rsid w:val="003D1868"/>
    <w:rsid w:val="003D24ED"/>
    <w:rsid w:val="003E5C57"/>
    <w:rsid w:val="003F21E5"/>
    <w:rsid w:val="003F4FAF"/>
    <w:rsid w:val="003F70EB"/>
    <w:rsid w:val="004026C7"/>
    <w:rsid w:val="00417585"/>
    <w:rsid w:val="00420DD7"/>
    <w:rsid w:val="0043617C"/>
    <w:rsid w:val="0044064D"/>
    <w:rsid w:val="00451661"/>
    <w:rsid w:val="004709A4"/>
    <w:rsid w:val="00486497"/>
    <w:rsid w:val="004A2A3E"/>
    <w:rsid w:val="004C5A10"/>
    <w:rsid w:val="004E2BCD"/>
    <w:rsid w:val="00513B1D"/>
    <w:rsid w:val="0051725A"/>
    <w:rsid w:val="005200FA"/>
    <w:rsid w:val="00535CAB"/>
    <w:rsid w:val="0054757D"/>
    <w:rsid w:val="00551B12"/>
    <w:rsid w:val="005618A9"/>
    <w:rsid w:val="00573288"/>
    <w:rsid w:val="00583D7D"/>
    <w:rsid w:val="00584613"/>
    <w:rsid w:val="00591FDC"/>
    <w:rsid w:val="005A6AD9"/>
    <w:rsid w:val="005C5DBE"/>
    <w:rsid w:val="005D0257"/>
    <w:rsid w:val="005D4A34"/>
    <w:rsid w:val="005D4AB3"/>
    <w:rsid w:val="005E03FD"/>
    <w:rsid w:val="005F1F3A"/>
    <w:rsid w:val="00602BD0"/>
    <w:rsid w:val="00607FA4"/>
    <w:rsid w:val="006507EF"/>
    <w:rsid w:val="00652555"/>
    <w:rsid w:val="00657C36"/>
    <w:rsid w:val="006706E6"/>
    <w:rsid w:val="00673C1A"/>
    <w:rsid w:val="00674482"/>
    <w:rsid w:val="00680ED7"/>
    <w:rsid w:val="006811F7"/>
    <w:rsid w:val="006813B6"/>
    <w:rsid w:val="00686C1D"/>
    <w:rsid w:val="00693C0A"/>
    <w:rsid w:val="006D586B"/>
    <w:rsid w:val="006E5866"/>
    <w:rsid w:val="006F2F28"/>
    <w:rsid w:val="007167D2"/>
    <w:rsid w:val="007476AA"/>
    <w:rsid w:val="00773477"/>
    <w:rsid w:val="00790724"/>
    <w:rsid w:val="007B1B57"/>
    <w:rsid w:val="007E0365"/>
    <w:rsid w:val="007E1B17"/>
    <w:rsid w:val="007F5A92"/>
    <w:rsid w:val="007F5F0C"/>
    <w:rsid w:val="0081240E"/>
    <w:rsid w:val="00824115"/>
    <w:rsid w:val="00824BE4"/>
    <w:rsid w:val="008305CA"/>
    <w:rsid w:val="00844640"/>
    <w:rsid w:val="008743C9"/>
    <w:rsid w:val="008871AE"/>
    <w:rsid w:val="00887C74"/>
    <w:rsid w:val="00890A8B"/>
    <w:rsid w:val="008E4055"/>
    <w:rsid w:val="008E6200"/>
    <w:rsid w:val="008F693A"/>
    <w:rsid w:val="0098230C"/>
    <w:rsid w:val="00986B56"/>
    <w:rsid w:val="009A30B1"/>
    <w:rsid w:val="009C6DF4"/>
    <w:rsid w:val="00A15D51"/>
    <w:rsid w:val="00A23D7D"/>
    <w:rsid w:val="00A56DD4"/>
    <w:rsid w:val="00A574B8"/>
    <w:rsid w:val="00A71166"/>
    <w:rsid w:val="00A740B9"/>
    <w:rsid w:val="00A76B25"/>
    <w:rsid w:val="00A87B27"/>
    <w:rsid w:val="00AA272D"/>
    <w:rsid w:val="00AA2CEE"/>
    <w:rsid w:val="00AB1B1A"/>
    <w:rsid w:val="00AC0D6F"/>
    <w:rsid w:val="00AC368F"/>
    <w:rsid w:val="00AE2484"/>
    <w:rsid w:val="00AE341B"/>
    <w:rsid w:val="00AE3731"/>
    <w:rsid w:val="00AE3A61"/>
    <w:rsid w:val="00B04F03"/>
    <w:rsid w:val="00B15404"/>
    <w:rsid w:val="00B22655"/>
    <w:rsid w:val="00B376ED"/>
    <w:rsid w:val="00B425FA"/>
    <w:rsid w:val="00B430C9"/>
    <w:rsid w:val="00B567C7"/>
    <w:rsid w:val="00B742BC"/>
    <w:rsid w:val="00B7550D"/>
    <w:rsid w:val="00B83A9B"/>
    <w:rsid w:val="00B8659A"/>
    <w:rsid w:val="00B931E5"/>
    <w:rsid w:val="00B97586"/>
    <w:rsid w:val="00BA24E3"/>
    <w:rsid w:val="00BA4ECD"/>
    <w:rsid w:val="00BA6AA9"/>
    <w:rsid w:val="00BB3B49"/>
    <w:rsid w:val="00BD21FF"/>
    <w:rsid w:val="00BD3161"/>
    <w:rsid w:val="00BF74F1"/>
    <w:rsid w:val="00C354A7"/>
    <w:rsid w:val="00C416BD"/>
    <w:rsid w:val="00C42E67"/>
    <w:rsid w:val="00C4532B"/>
    <w:rsid w:val="00C65922"/>
    <w:rsid w:val="00C669D8"/>
    <w:rsid w:val="00C84CBB"/>
    <w:rsid w:val="00CB209F"/>
    <w:rsid w:val="00CB2644"/>
    <w:rsid w:val="00CB73DB"/>
    <w:rsid w:val="00CC1D00"/>
    <w:rsid w:val="00CD454F"/>
    <w:rsid w:val="00CD4891"/>
    <w:rsid w:val="00CD7522"/>
    <w:rsid w:val="00CE4480"/>
    <w:rsid w:val="00CE7436"/>
    <w:rsid w:val="00D07C19"/>
    <w:rsid w:val="00D15E7B"/>
    <w:rsid w:val="00D16270"/>
    <w:rsid w:val="00D44CC5"/>
    <w:rsid w:val="00D460E0"/>
    <w:rsid w:val="00D608CA"/>
    <w:rsid w:val="00D6227C"/>
    <w:rsid w:val="00D63C3E"/>
    <w:rsid w:val="00D774D8"/>
    <w:rsid w:val="00D802A1"/>
    <w:rsid w:val="00D82C74"/>
    <w:rsid w:val="00D91C6A"/>
    <w:rsid w:val="00DB7FD8"/>
    <w:rsid w:val="00DC7DD2"/>
    <w:rsid w:val="00E021EA"/>
    <w:rsid w:val="00E03DB9"/>
    <w:rsid w:val="00E05057"/>
    <w:rsid w:val="00E10CF1"/>
    <w:rsid w:val="00E139B0"/>
    <w:rsid w:val="00E175D3"/>
    <w:rsid w:val="00E26660"/>
    <w:rsid w:val="00E44B51"/>
    <w:rsid w:val="00E54593"/>
    <w:rsid w:val="00E578FA"/>
    <w:rsid w:val="00E815D3"/>
    <w:rsid w:val="00EC335E"/>
    <w:rsid w:val="00EE0709"/>
    <w:rsid w:val="00EE7AA5"/>
    <w:rsid w:val="00EF1342"/>
    <w:rsid w:val="00F003F3"/>
    <w:rsid w:val="00F12341"/>
    <w:rsid w:val="00F15BB0"/>
    <w:rsid w:val="00F16447"/>
    <w:rsid w:val="00F2053A"/>
    <w:rsid w:val="00F23328"/>
    <w:rsid w:val="00F867F1"/>
    <w:rsid w:val="00F93B1E"/>
    <w:rsid w:val="00FC4E08"/>
    <w:rsid w:val="00FD49B4"/>
    <w:rsid w:val="00FE5178"/>
    <w:rsid w:val="00FF7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39FB"/>
  <w15:chartTrackingRefBased/>
  <w15:docId w15:val="{43CD39F8-BEBA-4FAF-A703-855C1B5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KHeading 1"/>
    <w:basedOn w:val="Normal"/>
    <w:next w:val="Normal"/>
    <w:link w:val="Heading1Char"/>
    <w:autoRedefine/>
    <w:uiPriority w:val="9"/>
    <w:qFormat/>
    <w:rsid w:val="00E139B0"/>
    <w:pPr>
      <w:keepNext/>
      <w:keepLines/>
      <w:numPr>
        <w:numId w:val="11"/>
      </w:numPr>
      <w:spacing w:before="480" w:after="0" w:line="276" w:lineRule="auto"/>
      <w:outlineLvl w:val="0"/>
    </w:pPr>
    <w:rPr>
      <w:rFonts w:asciiTheme="majorHAnsi" w:eastAsia="Times New Roman" w:hAnsiTheme="majorHAnsi" w:cs="Times New Roman"/>
      <w:b/>
      <w:bCs/>
      <w:color w:val="365F91"/>
      <w:sz w:val="28"/>
      <w:szCs w:val="28"/>
      <w:lang w:val="en-US"/>
      <w14:ligatures w14:val="none"/>
    </w:rPr>
  </w:style>
  <w:style w:type="paragraph" w:styleId="Heading2">
    <w:name w:val="heading 2"/>
    <w:aliases w:val="KHeading 2"/>
    <w:basedOn w:val="Normal"/>
    <w:next w:val="Normal"/>
    <w:link w:val="Heading2Char"/>
    <w:autoRedefine/>
    <w:uiPriority w:val="9"/>
    <w:unhideWhenUsed/>
    <w:qFormat/>
    <w:rsid w:val="00E139B0"/>
    <w:pPr>
      <w:keepNext/>
      <w:keepLines/>
      <w:numPr>
        <w:ilvl w:val="1"/>
        <w:numId w:val="11"/>
      </w:numPr>
      <w:spacing w:before="200" w:after="0" w:line="276" w:lineRule="auto"/>
      <w:outlineLvl w:val="1"/>
    </w:pPr>
    <w:rPr>
      <w:rFonts w:asciiTheme="majorHAnsi" w:eastAsia="Times New Roman" w:hAnsiTheme="majorHAnsi" w:cs="Times New Roman"/>
      <w:b/>
      <w:bCs/>
      <w:color w:val="4F81BD"/>
      <w:sz w:val="26"/>
      <w:szCs w:val="26"/>
      <w:lang w:val="en-US"/>
      <w14:ligatures w14:val="none"/>
    </w:rPr>
  </w:style>
  <w:style w:type="paragraph" w:styleId="Heading3">
    <w:name w:val="heading 3"/>
    <w:aliases w:val="KHeading 3"/>
    <w:basedOn w:val="Normal"/>
    <w:next w:val="Normal"/>
    <w:link w:val="Heading3Char"/>
    <w:autoRedefine/>
    <w:uiPriority w:val="9"/>
    <w:unhideWhenUsed/>
    <w:qFormat/>
    <w:rsid w:val="00E139B0"/>
    <w:pPr>
      <w:keepNext/>
      <w:keepLines/>
      <w:numPr>
        <w:ilvl w:val="2"/>
        <w:numId w:val="8"/>
      </w:numPr>
      <w:spacing w:before="200" w:after="0" w:line="276" w:lineRule="auto"/>
      <w:outlineLvl w:val="2"/>
    </w:pPr>
    <w:rPr>
      <w:rFonts w:asciiTheme="majorHAnsi" w:eastAsia="Times New Roman" w:hAnsiTheme="majorHAnsi" w:cs="Times New Roman"/>
      <w:b/>
      <w:bCs/>
      <w:color w:val="4F81BD"/>
      <w:sz w:val="24"/>
      <w:lang w:val="en-US"/>
      <w14:ligatures w14:val="none"/>
    </w:rPr>
  </w:style>
  <w:style w:type="paragraph" w:styleId="Heading4">
    <w:name w:val="heading 4"/>
    <w:aliases w:val="KHeading 4"/>
    <w:basedOn w:val="Normal"/>
    <w:next w:val="Normal"/>
    <w:link w:val="Heading4Char"/>
    <w:autoRedefine/>
    <w:uiPriority w:val="9"/>
    <w:unhideWhenUsed/>
    <w:qFormat/>
    <w:rsid w:val="00E139B0"/>
    <w:pPr>
      <w:keepNext/>
      <w:keepLines/>
      <w:numPr>
        <w:ilvl w:val="3"/>
        <w:numId w:val="11"/>
      </w:numPr>
      <w:spacing w:before="200" w:after="0" w:line="276" w:lineRule="auto"/>
      <w:outlineLvl w:val="3"/>
    </w:pPr>
    <w:rPr>
      <w:rFonts w:asciiTheme="majorHAnsi" w:eastAsia="Times New Roman" w:hAnsiTheme="majorHAnsi" w:cs="Times New Roman"/>
      <w:b/>
      <w:bCs/>
      <w:i/>
      <w:iCs/>
      <w:color w:val="4F81BD"/>
      <w:lang w:val="en-US"/>
      <w14:ligatures w14:val="none"/>
    </w:rPr>
  </w:style>
  <w:style w:type="paragraph" w:styleId="Heading5">
    <w:name w:val="heading 5"/>
    <w:aliases w:val="KHeading 5"/>
    <w:basedOn w:val="Normal"/>
    <w:next w:val="Normal"/>
    <w:link w:val="Heading5Char"/>
    <w:uiPriority w:val="9"/>
    <w:unhideWhenUsed/>
    <w:qFormat/>
    <w:rsid w:val="00E139B0"/>
    <w:pPr>
      <w:keepNext/>
      <w:keepLines/>
      <w:numPr>
        <w:ilvl w:val="4"/>
        <w:numId w:val="11"/>
      </w:numPr>
      <w:spacing w:before="200" w:after="0" w:line="276" w:lineRule="auto"/>
      <w:outlineLvl w:val="4"/>
    </w:pPr>
    <w:rPr>
      <w:rFonts w:ascii="DIN Next LT Pro" w:eastAsia="Times New Roman" w:hAnsi="DIN Next LT Pro" w:cs="Times New Roman"/>
      <w:color w:val="243F60"/>
      <w:lang w:val="en-US"/>
      <w14:ligatures w14:val="none"/>
    </w:rPr>
  </w:style>
  <w:style w:type="paragraph" w:styleId="Heading6">
    <w:name w:val="heading 6"/>
    <w:aliases w:val="KHeading 6"/>
    <w:basedOn w:val="Normal"/>
    <w:next w:val="Normal"/>
    <w:link w:val="Heading6Char"/>
    <w:uiPriority w:val="9"/>
    <w:semiHidden/>
    <w:unhideWhenUsed/>
    <w:qFormat/>
    <w:rsid w:val="00E139B0"/>
    <w:pPr>
      <w:keepNext/>
      <w:keepLines/>
      <w:numPr>
        <w:ilvl w:val="5"/>
        <w:numId w:val="11"/>
      </w:numPr>
      <w:spacing w:before="200" w:after="0" w:line="276" w:lineRule="auto"/>
      <w:outlineLvl w:val="5"/>
    </w:pPr>
    <w:rPr>
      <w:rFonts w:ascii="DIN Next LT Pro" w:eastAsia="Times New Roman" w:hAnsi="DIN Next LT Pro" w:cs="Times New Roman"/>
      <w:i/>
      <w:iCs/>
      <w:color w:val="243F6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eading 1 Char"/>
    <w:basedOn w:val="DefaultParagraphFont"/>
    <w:link w:val="Heading1"/>
    <w:uiPriority w:val="9"/>
    <w:rsid w:val="00E139B0"/>
    <w:rPr>
      <w:rFonts w:asciiTheme="majorHAnsi" w:eastAsia="Times New Roman" w:hAnsiTheme="majorHAnsi" w:cs="Times New Roman"/>
      <w:b/>
      <w:bCs/>
      <w:color w:val="365F91"/>
      <w:kern w:val="0"/>
      <w:sz w:val="28"/>
      <w:szCs w:val="28"/>
      <w14:ligatures w14:val="none"/>
    </w:rPr>
  </w:style>
  <w:style w:type="character" w:customStyle="1" w:styleId="Heading2Char">
    <w:name w:val="Heading 2 Char"/>
    <w:aliases w:val="KHeading 2 Char"/>
    <w:basedOn w:val="DefaultParagraphFont"/>
    <w:link w:val="Heading2"/>
    <w:uiPriority w:val="9"/>
    <w:rsid w:val="00E139B0"/>
    <w:rPr>
      <w:rFonts w:asciiTheme="majorHAnsi" w:eastAsia="Times New Roman" w:hAnsiTheme="majorHAnsi" w:cs="Times New Roman"/>
      <w:b/>
      <w:bCs/>
      <w:color w:val="4F81BD"/>
      <w:kern w:val="0"/>
      <w:sz w:val="26"/>
      <w:szCs w:val="26"/>
      <w14:ligatures w14:val="none"/>
    </w:rPr>
  </w:style>
  <w:style w:type="character" w:customStyle="1" w:styleId="Heading3Char">
    <w:name w:val="Heading 3 Char"/>
    <w:aliases w:val="KHeading 3 Char"/>
    <w:basedOn w:val="DefaultParagraphFont"/>
    <w:link w:val="Heading3"/>
    <w:uiPriority w:val="9"/>
    <w:rsid w:val="00E139B0"/>
    <w:rPr>
      <w:rFonts w:asciiTheme="majorHAnsi" w:eastAsia="Times New Roman" w:hAnsiTheme="majorHAnsi" w:cs="Times New Roman"/>
      <w:b/>
      <w:bCs/>
      <w:color w:val="4F81BD"/>
      <w:kern w:val="0"/>
      <w:sz w:val="24"/>
      <w14:ligatures w14:val="none"/>
    </w:rPr>
  </w:style>
  <w:style w:type="character" w:customStyle="1" w:styleId="Heading4Char">
    <w:name w:val="Heading 4 Char"/>
    <w:aliases w:val="KHeading 4 Char"/>
    <w:basedOn w:val="DefaultParagraphFont"/>
    <w:link w:val="Heading4"/>
    <w:uiPriority w:val="9"/>
    <w:rsid w:val="00E139B0"/>
    <w:rPr>
      <w:rFonts w:asciiTheme="majorHAnsi" w:eastAsia="Times New Roman" w:hAnsiTheme="majorHAnsi" w:cs="Times New Roman"/>
      <w:b/>
      <w:bCs/>
      <w:i/>
      <w:iCs/>
      <w:color w:val="4F81BD"/>
      <w:kern w:val="0"/>
      <w14:ligatures w14:val="none"/>
    </w:rPr>
  </w:style>
  <w:style w:type="character" w:customStyle="1" w:styleId="Heading5Char">
    <w:name w:val="Heading 5 Char"/>
    <w:aliases w:val="KHeading 5 Char"/>
    <w:basedOn w:val="DefaultParagraphFont"/>
    <w:link w:val="Heading5"/>
    <w:uiPriority w:val="9"/>
    <w:rsid w:val="003F21E5"/>
    <w:rPr>
      <w:rFonts w:ascii="DIN Next LT Pro" w:eastAsia="Times New Roman" w:hAnsi="DIN Next LT Pro" w:cs="Times New Roman"/>
      <w:color w:val="243F60"/>
      <w:kern w:val="0"/>
      <w14:ligatures w14:val="none"/>
    </w:rPr>
  </w:style>
  <w:style w:type="character" w:customStyle="1" w:styleId="Heading6Char">
    <w:name w:val="Heading 6 Char"/>
    <w:aliases w:val="KHeading 6 Char"/>
    <w:basedOn w:val="DefaultParagraphFont"/>
    <w:link w:val="Heading6"/>
    <w:uiPriority w:val="9"/>
    <w:semiHidden/>
    <w:rsid w:val="003F21E5"/>
    <w:rPr>
      <w:rFonts w:ascii="DIN Next LT Pro" w:eastAsia="Times New Roman" w:hAnsi="DIN Next LT Pro" w:cs="Times New Roman"/>
      <w:i/>
      <w:iCs/>
      <w:color w:val="243F60"/>
      <w:kern w:val="0"/>
      <w14:ligatures w14:val="none"/>
    </w:rPr>
  </w:style>
  <w:style w:type="paragraph" w:styleId="Bibliography">
    <w:name w:val="Bibliography"/>
    <w:basedOn w:val="Normal"/>
    <w:next w:val="Normal"/>
    <w:uiPriority w:val="37"/>
    <w:unhideWhenUsed/>
    <w:rsid w:val="00A574B8"/>
    <w:pPr>
      <w:tabs>
        <w:tab w:val="left" w:pos="264"/>
      </w:tabs>
      <w:spacing w:after="0" w:line="480" w:lineRule="auto"/>
      <w:ind w:left="264" w:hanging="264"/>
    </w:pPr>
  </w:style>
  <w:style w:type="paragraph" w:styleId="FootnoteText">
    <w:name w:val="footnote text"/>
    <w:basedOn w:val="Normal"/>
    <w:link w:val="FootnoteTextChar"/>
    <w:uiPriority w:val="99"/>
    <w:semiHidden/>
    <w:unhideWhenUsed/>
    <w:rsid w:val="00EC3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35E"/>
    <w:rPr>
      <w:sz w:val="20"/>
      <w:szCs w:val="20"/>
    </w:rPr>
  </w:style>
  <w:style w:type="character" w:styleId="FootnoteReference">
    <w:name w:val="footnote reference"/>
    <w:basedOn w:val="DefaultParagraphFont"/>
    <w:uiPriority w:val="99"/>
    <w:semiHidden/>
    <w:unhideWhenUsed/>
    <w:rsid w:val="00EC335E"/>
    <w:rPr>
      <w:vertAlign w:val="superscript"/>
    </w:rPr>
  </w:style>
  <w:style w:type="paragraph" w:styleId="ListParagraph">
    <w:name w:val="List Paragraph"/>
    <w:basedOn w:val="Normal"/>
    <w:uiPriority w:val="34"/>
    <w:qFormat/>
    <w:rsid w:val="00F1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31C3-0336-4298-8F68-1B3132C3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2592</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dc:creator>
  <cp:keywords/>
  <dc:description/>
  <cp:lastModifiedBy>martín</cp:lastModifiedBy>
  <cp:revision>217</cp:revision>
  <cp:lastPrinted>2024-01-25T18:02:00Z</cp:lastPrinted>
  <dcterms:created xsi:type="dcterms:W3CDTF">2024-01-24T18:10:00Z</dcterms:created>
  <dcterms:modified xsi:type="dcterms:W3CDTF">2024-01-25T19:29:00Z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id="R4JZi6x0"/&gt;&lt;style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